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27C58" w14:paraId="2A131A54" w14:textId="77777777" w:rsidTr="004B2B7F">
        <w:trPr>
          <w:trHeight w:val="852"/>
          <w:jc w:val="center"/>
        </w:trPr>
        <w:tc>
          <w:tcPr>
            <w:tcW w:w="6940" w:type="dxa"/>
            <w:vMerge w:val="restart"/>
            <w:tcBorders>
              <w:right w:val="single" w:sz="4" w:space="0" w:color="auto"/>
            </w:tcBorders>
          </w:tcPr>
          <w:p w14:paraId="38C3D2BA" w14:textId="77777777" w:rsidR="000A03B2" w:rsidRPr="00627C58" w:rsidRDefault="000A03B2" w:rsidP="00DE264A">
            <w:pPr>
              <w:tabs>
                <w:tab w:val="left" w:pos="-108"/>
              </w:tabs>
              <w:ind w:left="-108"/>
              <w:jc w:val="left"/>
              <w:rPr>
                <w:rFonts w:cs="Arial"/>
                <w:b/>
                <w:bCs/>
                <w:i/>
                <w:iCs/>
                <w:color w:val="000066"/>
                <w:sz w:val="12"/>
                <w:szCs w:val="12"/>
                <w:lang w:eastAsia="it-IT"/>
              </w:rPr>
            </w:pPr>
            <w:bookmarkStart w:id="0" w:name="_Hlk145068772"/>
            <w:r w:rsidRPr="00627C58">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27C58">
              <w:rPr>
                <w:rFonts w:cs="Arial"/>
                <w:color w:val="241F20"/>
                <w:szCs w:val="18"/>
                <w:lang w:eastAsia="it-IT"/>
              </w:rPr>
              <w:t xml:space="preserve"> </w:t>
            </w:r>
            <w:r w:rsidRPr="00627C58">
              <w:rPr>
                <w:rFonts w:cs="Arial"/>
                <w:b/>
                <w:bCs/>
                <w:i/>
                <w:iCs/>
                <w:color w:val="000066"/>
                <w:sz w:val="24"/>
                <w:szCs w:val="24"/>
                <w:lang w:eastAsia="it-IT"/>
              </w:rPr>
              <w:t>CHEMICAL ENGINEERING</w:t>
            </w:r>
            <w:r w:rsidRPr="00627C58">
              <w:rPr>
                <w:rFonts w:cs="Arial"/>
                <w:b/>
                <w:bCs/>
                <w:i/>
                <w:iCs/>
                <w:color w:val="0033FF"/>
                <w:sz w:val="24"/>
                <w:szCs w:val="24"/>
                <w:lang w:eastAsia="it-IT"/>
              </w:rPr>
              <w:t xml:space="preserve"> </w:t>
            </w:r>
            <w:r w:rsidRPr="00627C58">
              <w:rPr>
                <w:rFonts w:cs="Arial"/>
                <w:b/>
                <w:bCs/>
                <w:i/>
                <w:iCs/>
                <w:color w:val="666666"/>
                <w:sz w:val="24"/>
                <w:szCs w:val="24"/>
                <w:lang w:eastAsia="it-IT"/>
              </w:rPr>
              <w:t>TRANSACTIONS</w:t>
            </w:r>
            <w:r w:rsidRPr="00627C58">
              <w:rPr>
                <w:rFonts w:cs="Arial"/>
                <w:color w:val="333333"/>
                <w:sz w:val="24"/>
                <w:szCs w:val="24"/>
                <w:lang w:eastAsia="it-IT"/>
              </w:rPr>
              <w:t xml:space="preserve"> </w:t>
            </w:r>
            <w:r w:rsidRPr="00627C58">
              <w:rPr>
                <w:rFonts w:cs="Arial"/>
                <w:b/>
                <w:bCs/>
                <w:i/>
                <w:iCs/>
                <w:color w:val="000066"/>
                <w:sz w:val="27"/>
                <w:szCs w:val="27"/>
                <w:lang w:eastAsia="it-IT"/>
              </w:rPr>
              <w:br/>
            </w:r>
          </w:p>
          <w:p w14:paraId="4B780582" w14:textId="47EF826C" w:rsidR="000A03B2" w:rsidRPr="00627C58" w:rsidRDefault="00A76EFC" w:rsidP="001D21AF">
            <w:pPr>
              <w:tabs>
                <w:tab w:val="left" w:pos="-108"/>
              </w:tabs>
              <w:ind w:left="-108"/>
              <w:rPr>
                <w:rFonts w:cs="Arial"/>
                <w:b/>
                <w:bCs/>
                <w:i/>
                <w:iCs/>
                <w:color w:val="000066"/>
                <w:sz w:val="22"/>
                <w:szCs w:val="22"/>
                <w:lang w:eastAsia="it-IT"/>
              </w:rPr>
            </w:pPr>
            <w:r w:rsidRPr="00627C58">
              <w:rPr>
                <w:rFonts w:cs="Arial"/>
                <w:b/>
                <w:bCs/>
                <w:i/>
                <w:iCs/>
                <w:color w:val="000066"/>
                <w:sz w:val="22"/>
                <w:szCs w:val="22"/>
                <w:lang w:eastAsia="it-IT"/>
              </w:rPr>
              <w:t>VOL.</w:t>
            </w:r>
            <w:r w:rsidR="00785BF9" w:rsidRPr="00627C58">
              <w:rPr>
                <w:rFonts w:cs="Arial"/>
                <w:b/>
                <w:bCs/>
                <w:i/>
                <w:iCs/>
                <w:color w:val="000066"/>
                <w:sz w:val="22"/>
                <w:szCs w:val="22"/>
                <w:lang w:eastAsia="it-IT"/>
              </w:rPr>
              <w:t xml:space="preserve"> </w:t>
            </w:r>
            <w:r w:rsidR="00994C6A" w:rsidRPr="00627C58">
              <w:rPr>
                <w:rFonts w:cs="Arial"/>
                <w:b/>
                <w:bCs/>
                <w:i/>
                <w:iCs/>
                <w:color w:val="000066"/>
                <w:sz w:val="22"/>
                <w:szCs w:val="22"/>
                <w:lang w:eastAsia="it-IT"/>
              </w:rPr>
              <w:t>xxx</w:t>
            </w:r>
            <w:r w:rsidR="007B48F9" w:rsidRPr="00627C58">
              <w:rPr>
                <w:rFonts w:cs="Arial"/>
                <w:b/>
                <w:bCs/>
                <w:i/>
                <w:iCs/>
                <w:color w:val="000066"/>
                <w:sz w:val="22"/>
                <w:szCs w:val="22"/>
                <w:lang w:eastAsia="it-IT"/>
              </w:rPr>
              <w:t>,</w:t>
            </w:r>
            <w:r w:rsidR="00FA5F5F" w:rsidRPr="00627C58">
              <w:rPr>
                <w:rFonts w:cs="Arial"/>
                <w:b/>
                <w:bCs/>
                <w:i/>
                <w:iCs/>
                <w:color w:val="000066"/>
                <w:sz w:val="22"/>
                <w:szCs w:val="22"/>
                <w:lang w:eastAsia="it-IT"/>
              </w:rPr>
              <w:t xml:space="preserve"> </w:t>
            </w:r>
            <w:r w:rsidR="0030152C" w:rsidRPr="00627C58">
              <w:rPr>
                <w:rFonts w:cs="Arial"/>
                <w:b/>
                <w:bCs/>
                <w:i/>
                <w:iCs/>
                <w:color w:val="000066"/>
                <w:sz w:val="22"/>
                <w:szCs w:val="22"/>
                <w:lang w:eastAsia="it-IT"/>
              </w:rPr>
              <w:t>202</w:t>
            </w:r>
            <w:r w:rsidR="00994C6A" w:rsidRPr="00627C58">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627C58" w:rsidRDefault="000A03B2" w:rsidP="00CD5FE2">
            <w:pPr>
              <w:spacing w:line="140" w:lineRule="atLeast"/>
              <w:jc w:val="right"/>
              <w:rPr>
                <w:rFonts w:cs="Arial"/>
                <w:sz w:val="14"/>
                <w:szCs w:val="14"/>
              </w:rPr>
            </w:pPr>
            <w:r w:rsidRPr="00627C58">
              <w:rPr>
                <w:rFonts w:cs="Arial"/>
                <w:sz w:val="14"/>
                <w:szCs w:val="14"/>
              </w:rPr>
              <w:t>A publication of</w:t>
            </w:r>
          </w:p>
          <w:p w14:paraId="599E5441" w14:textId="77777777" w:rsidR="000A03B2" w:rsidRPr="00627C58" w:rsidRDefault="000A03B2" w:rsidP="00CD5FE2">
            <w:pPr>
              <w:jc w:val="right"/>
              <w:rPr>
                <w:rFonts w:cs="Arial"/>
              </w:rPr>
            </w:pPr>
            <w:r w:rsidRPr="00627C58">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27C58" w14:paraId="380FA3CD" w14:textId="77777777" w:rsidTr="004B2B7F">
        <w:trPr>
          <w:trHeight w:val="567"/>
          <w:jc w:val="center"/>
        </w:trPr>
        <w:tc>
          <w:tcPr>
            <w:tcW w:w="6940" w:type="dxa"/>
            <w:vMerge/>
            <w:tcBorders>
              <w:right w:val="single" w:sz="4" w:space="0" w:color="auto"/>
            </w:tcBorders>
          </w:tcPr>
          <w:p w14:paraId="39E5E4C1" w14:textId="77777777" w:rsidR="000A03B2" w:rsidRPr="00627C58"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627C58" w:rsidRDefault="000A03B2" w:rsidP="00CD5FE2">
            <w:pPr>
              <w:spacing w:line="140" w:lineRule="atLeast"/>
              <w:jc w:val="right"/>
              <w:rPr>
                <w:rFonts w:cs="Arial"/>
                <w:sz w:val="14"/>
                <w:szCs w:val="14"/>
              </w:rPr>
            </w:pPr>
            <w:r w:rsidRPr="00627C58">
              <w:rPr>
                <w:rFonts w:cs="Arial"/>
                <w:sz w:val="14"/>
                <w:szCs w:val="14"/>
              </w:rPr>
              <w:t>The Italian Association</w:t>
            </w:r>
          </w:p>
          <w:p w14:paraId="7522B1D2" w14:textId="77777777" w:rsidR="000A03B2" w:rsidRPr="00627C58" w:rsidRDefault="000A03B2" w:rsidP="00CD5FE2">
            <w:pPr>
              <w:spacing w:line="140" w:lineRule="atLeast"/>
              <w:jc w:val="right"/>
              <w:rPr>
                <w:rFonts w:cs="Arial"/>
                <w:sz w:val="14"/>
                <w:szCs w:val="14"/>
              </w:rPr>
            </w:pPr>
            <w:r w:rsidRPr="00627C58">
              <w:rPr>
                <w:rFonts w:cs="Arial"/>
                <w:sz w:val="14"/>
                <w:szCs w:val="14"/>
              </w:rPr>
              <w:t>of Chemical Engineering</w:t>
            </w:r>
          </w:p>
          <w:p w14:paraId="4F0CC5DE" w14:textId="47FDB2FC" w:rsidR="000A03B2" w:rsidRPr="00627C58" w:rsidRDefault="000D0268" w:rsidP="00CD5FE2">
            <w:pPr>
              <w:spacing w:line="140" w:lineRule="atLeast"/>
              <w:jc w:val="right"/>
              <w:rPr>
                <w:rFonts w:cs="Arial"/>
                <w:sz w:val="13"/>
                <w:szCs w:val="13"/>
              </w:rPr>
            </w:pPr>
            <w:r w:rsidRPr="00627C58">
              <w:rPr>
                <w:rFonts w:cs="Arial"/>
                <w:sz w:val="13"/>
                <w:szCs w:val="13"/>
              </w:rPr>
              <w:t>Online at www.cetjournal.it</w:t>
            </w:r>
          </w:p>
        </w:tc>
      </w:tr>
      <w:tr w:rsidR="000A03B2" w:rsidRPr="00627C58" w14:paraId="2D1B7169" w14:textId="77777777" w:rsidTr="004B2B7F">
        <w:trPr>
          <w:trHeight w:val="68"/>
          <w:jc w:val="center"/>
        </w:trPr>
        <w:tc>
          <w:tcPr>
            <w:tcW w:w="8782" w:type="dxa"/>
            <w:gridSpan w:val="2"/>
          </w:tcPr>
          <w:p w14:paraId="30F07041" w14:textId="63716B11" w:rsidR="00F27EE4" w:rsidRPr="00627C58" w:rsidRDefault="00AA7D26" w:rsidP="00F27EE4">
            <w:pPr>
              <w:ind w:left="-107"/>
              <w:rPr>
                <w:rFonts w:cs="Arial"/>
                <w:b/>
                <w:bCs/>
                <w:color w:val="000000"/>
                <w:sz w:val="14"/>
                <w:szCs w:val="14"/>
                <w:shd w:val="clear" w:color="auto" w:fill="FFFFFF"/>
                <w:lang w:val="it-IT"/>
              </w:rPr>
            </w:pPr>
            <w:r w:rsidRPr="00627C58">
              <w:rPr>
                <w:rFonts w:cs="Arial"/>
                <w:iCs/>
                <w:color w:val="333333"/>
                <w:sz w:val="14"/>
                <w:szCs w:val="14"/>
                <w:lang w:val="it-IT" w:eastAsia="it-IT"/>
              </w:rPr>
              <w:t>Guest Editors:</w:t>
            </w:r>
            <w:r w:rsidR="007D610D" w:rsidRPr="00627C58">
              <w:rPr>
                <w:rFonts w:eastAsiaTheme="minorHAnsi" w:cs="Arial"/>
                <w:sz w:val="22"/>
                <w:szCs w:val="22"/>
                <w:lang w:val="it-IT"/>
                <w14:ligatures w14:val="standardContextual"/>
              </w:rPr>
              <w:t xml:space="preserve"> </w:t>
            </w:r>
            <w:r w:rsidR="00F27EE4" w:rsidRPr="00627C58">
              <w:rPr>
                <w:rFonts w:cs="Arial"/>
                <w:color w:val="000000"/>
                <w:sz w:val="14"/>
                <w:szCs w:val="14"/>
                <w:shd w:val="clear" w:color="auto" w:fill="FFFFFF"/>
                <w:lang w:val="it-IT"/>
              </w:rPr>
              <w:t>Bruno Fabiano, Valerio Cozzani</w:t>
            </w:r>
          </w:p>
          <w:p w14:paraId="1B0F1814" w14:textId="2DB8A072" w:rsidR="000A03B2" w:rsidRPr="00627C58" w:rsidRDefault="00AA7D26" w:rsidP="00AA7D26">
            <w:pPr>
              <w:tabs>
                <w:tab w:val="left" w:pos="-108"/>
              </w:tabs>
              <w:spacing w:line="140" w:lineRule="atLeast"/>
              <w:ind w:left="-107"/>
              <w:jc w:val="left"/>
              <w:rPr>
                <w:rFonts w:cs="Arial"/>
              </w:rPr>
            </w:pPr>
            <w:r w:rsidRPr="00627C58">
              <w:rPr>
                <w:rFonts w:cs="Arial"/>
                <w:iCs/>
                <w:color w:val="333333"/>
                <w:sz w:val="14"/>
                <w:szCs w:val="14"/>
                <w:lang w:eastAsia="it-IT"/>
              </w:rPr>
              <w:t>Copyright © 202</w:t>
            </w:r>
            <w:r w:rsidR="00994C6A" w:rsidRPr="00627C58">
              <w:rPr>
                <w:rFonts w:cs="Arial"/>
                <w:iCs/>
                <w:color w:val="333333"/>
                <w:sz w:val="14"/>
                <w:szCs w:val="14"/>
                <w:lang w:eastAsia="it-IT"/>
              </w:rPr>
              <w:t>5</w:t>
            </w:r>
            <w:r w:rsidRPr="00627C58">
              <w:rPr>
                <w:rFonts w:cs="Arial"/>
                <w:iCs/>
                <w:color w:val="333333"/>
                <w:sz w:val="14"/>
                <w:szCs w:val="14"/>
                <w:lang w:eastAsia="it-IT"/>
              </w:rPr>
              <w:t xml:space="preserve">, AIDIC </w:t>
            </w:r>
            <w:r w:rsidRPr="009D5B93">
              <w:rPr>
                <w:rFonts w:cs="Arial"/>
                <w:iCs/>
                <w:color w:val="333333"/>
                <w:sz w:val="14"/>
                <w:szCs w:val="14"/>
                <w:lang w:val="en-US" w:eastAsia="it-IT"/>
              </w:rPr>
              <w:t>Servizi S.r.l.</w:t>
            </w:r>
            <w:r w:rsidRPr="00627C58">
              <w:rPr>
                <w:rFonts w:cs="Arial"/>
                <w:iCs/>
                <w:color w:val="333333"/>
                <w:sz w:val="14"/>
                <w:szCs w:val="14"/>
                <w:lang w:eastAsia="it-IT"/>
              </w:rPr>
              <w:br/>
            </w:r>
            <w:r w:rsidRPr="00627C58">
              <w:rPr>
                <w:rFonts w:cs="Arial"/>
                <w:b/>
                <w:iCs/>
                <w:color w:val="000000"/>
                <w:sz w:val="14"/>
                <w:szCs w:val="14"/>
                <w:lang w:eastAsia="it-IT"/>
              </w:rPr>
              <w:t>ISBN</w:t>
            </w:r>
            <w:r w:rsidRPr="00627C58">
              <w:rPr>
                <w:rFonts w:cs="Arial"/>
                <w:iCs/>
                <w:color w:val="000000"/>
                <w:sz w:val="14"/>
                <w:szCs w:val="14"/>
                <w:lang w:eastAsia="it-IT"/>
              </w:rPr>
              <w:t xml:space="preserve"> </w:t>
            </w:r>
            <w:r w:rsidR="003B49CD" w:rsidRPr="00627C58">
              <w:rPr>
                <w:rFonts w:cs="Arial"/>
                <w:sz w:val="14"/>
                <w:szCs w:val="14"/>
              </w:rPr>
              <w:t>979-12-81206-</w:t>
            </w:r>
            <w:r w:rsidR="00F27EE4" w:rsidRPr="00627C58">
              <w:rPr>
                <w:rFonts w:cs="Arial"/>
                <w:sz w:val="14"/>
                <w:szCs w:val="14"/>
              </w:rPr>
              <w:t>xx-y</w:t>
            </w:r>
            <w:r w:rsidRPr="00627C58">
              <w:rPr>
                <w:rFonts w:cs="Arial"/>
                <w:iCs/>
                <w:color w:val="333333"/>
                <w:sz w:val="14"/>
                <w:szCs w:val="14"/>
                <w:lang w:eastAsia="it-IT"/>
              </w:rPr>
              <w:t xml:space="preserve">; </w:t>
            </w:r>
            <w:r w:rsidRPr="00627C58">
              <w:rPr>
                <w:rFonts w:cs="Arial"/>
                <w:b/>
                <w:iCs/>
                <w:color w:val="333333"/>
                <w:sz w:val="14"/>
                <w:szCs w:val="14"/>
                <w:lang w:eastAsia="it-IT"/>
              </w:rPr>
              <w:t>ISSN</w:t>
            </w:r>
            <w:r w:rsidRPr="00627C58">
              <w:rPr>
                <w:rFonts w:cs="Arial"/>
                <w:iCs/>
                <w:color w:val="333333"/>
                <w:sz w:val="14"/>
                <w:szCs w:val="14"/>
                <w:lang w:eastAsia="it-IT"/>
              </w:rPr>
              <w:t xml:space="preserve"> 2283-9216</w:t>
            </w:r>
          </w:p>
        </w:tc>
      </w:tr>
    </w:tbl>
    <w:bookmarkEnd w:id="0"/>
    <w:p w14:paraId="2E667253" w14:textId="5A848B2F" w:rsidR="00E978D0" w:rsidRPr="00627C58" w:rsidRDefault="004B2B7F" w:rsidP="00E978D0">
      <w:pPr>
        <w:pStyle w:val="CETTitle"/>
        <w:rPr>
          <w:rFonts w:cs="Arial"/>
        </w:rPr>
      </w:pPr>
      <w:r w:rsidRPr="00627C58">
        <w:rPr>
          <w:rFonts w:cs="Arial"/>
        </w:rPr>
        <w:t>Estimating Firewater Runoff in Process Plants: An analysis of available models for retention pond sizing</w:t>
      </w:r>
    </w:p>
    <w:p w14:paraId="0488FED2" w14:textId="0810270C" w:rsidR="00B57E6F" w:rsidRPr="00746FE0" w:rsidRDefault="00121B6E" w:rsidP="00B57E6F">
      <w:pPr>
        <w:pStyle w:val="CETAuthors"/>
        <w:rPr>
          <w:rFonts w:cs="Arial"/>
          <w:lang w:val="it-IT"/>
        </w:rPr>
      </w:pPr>
      <w:r w:rsidRPr="00746FE0">
        <w:rPr>
          <w:rFonts w:cs="Arial"/>
          <w:lang w:val="it-IT"/>
        </w:rPr>
        <w:t>Giuseppe Pino</w:t>
      </w:r>
      <w:r w:rsidR="00B57E6F" w:rsidRPr="00746FE0">
        <w:rPr>
          <w:rFonts w:cs="Arial"/>
          <w:vertAlign w:val="superscript"/>
          <w:lang w:val="it-IT"/>
        </w:rPr>
        <w:t>a</w:t>
      </w:r>
      <w:r w:rsidR="00B57E6F" w:rsidRPr="00746FE0">
        <w:rPr>
          <w:rFonts w:cs="Arial"/>
          <w:lang w:val="it-IT"/>
        </w:rPr>
        <w:t xml:space="preserve"> </w:t>
      </w:r>
    </w:p>
    <w:p w14:paraId="6B2D21B3" w14:textId="123C11A7" w:rsidR="00B57E6F" w:rsidRPr="00746FE0" w:rsidRDefault="00B57E6F" w:rsidP="00B57E6F">
      <w:pPr>
        <w:pStyle w:val="CETAddress"/>
        <w:rPr>
          <w:rFonts w:cs="Arial"/>
          <w:lang w:val="it-IT"/>
        </w:rPr>
      </w:pPr>
      <w:r w:rsidRPr="00746FE0">
        <w:rPr>
          <w:rFonts w:cs="Arial"/>
          <w:vertAlign w:val="superscript"/>
          <w:lang w:val="it-IT"/>
        </w:rPr>
        <w:t>a</w:t>
      </w:r>
      <w:r w:rsidR="00134B2C" w:rsidRPr="00746FE0">
        <w:rPr>
          <w:rFonts w:cs="Arial"/>
          <w:lang w:val="it-IT"/>
        </w:rPr>
        <w:t xml:space="preserve">DHSE Manager, </w:t>
      </w:r>
      <w:r w:rsidR="0006210E" w:rsidRPr="00746FE0">
        <w:rPr>
          <w:rFonts w:cs="Arial"/>
          <w:lang w:val="it-IT"/>
        </w:rPr>
        <w:t>MAIRE Tecnimont s.p.a., Via De Castillia 6/A - 20124 Milan, Italy</w:t>
      </w:r>
    </w:p>
    <w:p w14:paraId="73F1267A" w14:textId="07444F73" w:rsidR="00B57E6F" w:rsidRPr="00627C58" w:rsidRDefault="000504DB" w:rsidP="00B57E6F">
      <w:pPr>
        <w:pStyle w:val="CETemail"/>
        <w:rPr>
          <w:rFonts w:cs="Arial"/>
        </w:rPr>
      </w:pPr>
      <w:r w:rsidRPr="00627C58">
        <w:rPr>
          <w:rFonts w:cs="Arial"/>
        </w:rPr>
        <w:t>g</w:t>
      </w:r>
      <w:r w:rsidR="00B57E6F" w:rsidRPr="00627C58">
        <w:rPr>
          <w:rFonts w:cs="Arial"/>
        </w:rPr>
        <w:t>.</w:t>
      </w:r>
      <w:r w:rsidRPr="00627C58">
        <w:rPr>
          <w:rFonts w:cs="Arial"/>
        </w:rPr>
        <w:t>pino</w:t>
      </w:r>
      <w:r w:rsidR="00B57E6F" w:rsidRPr="00627C58">
        <w:rPr>
          <w:rFonts w:cs="Arial"/>
        </w:rPr>
        <w:t>@</w:t>
      </w:r>
      <w:r w:rsidRPr="00627C58">
        <w:rPr>
          <w:rFonts w:cs="Arial"/>
        </w:rPr>
        <w:t>tecnimont.it</w:t>
      </w:r>
      <w:r w:rsidR="00B57E6F" w:rsidRPr="00627C58">
        <w:rPr>
          <w:rFonts w:cs="Arial"/>
        </w:rPr>
        <w:t xml:space="preserve"> </w:t>
      </w:r>
    </w:p>
    <w:p w14:paraId="175B08F9" w14:textId="10BDD029" w:rsidR="005B7207" w:rsidRPr="0078686C" w:rsidRDefault="009D5B93" w:rsidP="0078686C">
      <w:pPr>
        <w:pStyle w:val="CETBodytext"/>
        <w:rPr>
          <w:lang w:val="en-GB"/>
        </w:rPr>
      </w:pPr>
      <w:r w:rsidRPr="0078686C">
        <w:rPr>
          <w:lang w:val="en-GB"/>
        </w:rPr>
        <w:t xml:space="preserve">The environmental impact of polluted firewater </w:t>
      </w:r>
      <w:r w:rsidR="00A67ACE" w:rsidRPr="0078686C">
        <w:rPr>
          <w:lang w:val="en-GB"/>
        </w:rPr>
        <w:t>i</w:t>
      </w:r>
      <w:r w:rsidRPr="0078686C">
        <w:rPr>
          <w:lang w:val="en-GB"/>
        </w:rPr>
        <w:t xml:space="preserve">s a critical point to the current efforts to improve the sustainability of industrial </w:t>
      </w:r>
      <w:r w:rsidRPr="008169BB">
        <w:rPr>
          <w:rFonts w:cs="Arial"/>
          <w:lang w:val="en-GB"/>
        </w:rPr>
        <w:t>plant</w:t>
      </w:r>
      <w:r w:rsidRPr="0078686C">
        <w:rPr>
          <w:lang w:val="en-GB"/>
        </w:rPr>
        <w:t xml:space="preserve">. </w:t>
      </w:r>
      <w:r w:rsidR="00316F74" w:rsidRPr="0078686C">
        <w:rPr>
          <w:lang w:val="en-GB"/>
        </w:rPr>
        <w:t xml:space="preserve">In case of </w:t>
      </w:r>
      <w:r w:rsidR="00316F74" w:rsidRPr="008169BB">
        <w:rPr>
          <w:rFonts w:cs="Arial"/>
          <w:lang w:val="en-GB"/>
        </w:rPr>
        <w:t xml:space="preserve">a </w:t>
      </w:r>
      <w:r w:rsidR="00316F74" w:rsidRPr="0078686C">
        <w:rPr>
          <w:lang w:val="en-GB"/>
        </w:rPr>
        <w:t>fire accidents in process plants, the f</w:t>
      </w:r>
      <w:r w:rsidR="005B7207" w:rsidRPr="0078686C">
        <w:rPr>
          <w:lang w:val="en-GB"/>
        </w:rPr>
        <w:t xml:space="preserve">irefighting water can cause considerable </w:t>
      </w:r>
      <w:r w:rsidR="005B7207" w:rsidRPr="008169BB">
        <w:rPr>
          <w:rFonts w:cs="Arial"/>
          <w:lang w:val="en-GB"/>
        </w:rPr>
        <w:t>damages</w:t>
      </w:r>
      <w:r w:rsidR="005B7207" w:rsidRPr="0078686C">
        <w:rPr>
          <w:lang w:val="en-GB"/>
        </w:rPr>
        <w:t xml:space="preserve"> if it enters surface water, infiltrates the ground, or contaminates groundwater</w:t>
      </w:r>
      <w:r w:rsidR="00715788" w:rsidRPr="0078686C">
        <w:rPr>
          <w:lang w:val="en-GB"/>
        </w:rPr>
        <w:t>.</w:t>
      </w:r>
      <w:r w:rsidR="00F33034" w:rsidRPr="0078686C">
        <w:rPr>
          <w:lang w:val="en-GB"/>
        </w:rPr>
        <w:t xml:space="preserve"> </w:t>
      </w:r>
      <w:r w:rsidR="005B7207" w:rsidRPr="0078686C">
        <w:rPr>
          <w:lang w:val="en-GB"/>
        </w:rPr>
        <w:t xml:space="preserve">By </w:t>
      </w:r>
      <w:r w:rsidR="005B7207" w:rsidRPr="008169BB">
        <w:rPr>
          <w:rFonts w:cs="Arial"/>
          <w:lang w:val="en-GB"/>
        </w:rPr>
        <w:t>properly</w:t>
      </w:r>
      <w:r w:rsidR="005B7207" w:rsidRPr="0078686C">
        <w:rPr>
          <w:lang w:val="en-GB"/>
        </w:rPr>
        <w:t xml:space="preserve"> designing waste-water retention and treatment systems, these issues can be addressed taking into consideration the amount of contaminated firewater that needs to be collected and treated</w:t>
      </w:r>
      <w:r w:rsidR="00BA48D2" w:rsidRPr="0078686C">
        <w:rPr>
          <w:lang w:val="en-GB"/>
        </w:rPr>
        <w:t>.</w:t>
      </w:r>
    </w:p>
    <w:p w14:paraId="172AEC4B" w14:textId="5CE77422" w:rsidR="00CA0FC4" w:rsidRPr="0078686C" w:rsidRDefault="009353E2" w:rsidP="0078686C">
      <w:pPr>
        <w:pStyle w:val="CETBodytext"/>
        <w:rPr>
          <w:lang w:val="en-GB"/>
        </w:rPr>
      </w:pPr>
      <w:r w:rsidRPr="0078686C">
        <w:rPr>
          <w:lang w:val="en-GB"/>
        </w:rPr>
        <w:t xml:space="preserve">This paper is a contribution to the estimation of amount of firewater runoff to be discharged in the drainage systems and the sizing of retention pond presenting the results of the application of different models and their convergence to </w:t>
      </w:r>
      <w:r w:rsidR="009535C2" w:rsidRPr="0078686C">
        <w:rPr>
          <w:lang w:val="en-GB"/>
        </w:rPr>
        <w:t>a</w:t>
      </w:r>
      <w:r w:rsidRPr="0078686C">
        <w:rPr>
          <w:lang w:val="en-GB"/>
        </w:rPr>
        <w:t xml:space="preserve"> design value.</w:t>
      </w:r>
      <w:r w:rsidRPr="00627C58">
        <w:rPr>
          <w:rFonts w:cs="Arial"/>
          <w:lang w:val="en-GB"/>
        </w:rPr>
        <w:t xml:space="preserve"> </w:t>
      </w:r>
    </w:p>
    <w:p w14:paraId="63C8E811" w14:textId="365F21E1" w:rsidR="00AC3A74" w:rsidRPr="0078686C" w:rsidRDefault="00876D87" w:rsidP="0078686C">
      <w:pPr>
        <w:pStyle w:val="CETBodytext"/>
        <w:rPr>
          <w:lang w:val="en-GB"/>
        </w:rPr>
      </w:pPr>
      <w:r w:rsidRPr="0078686C">
        <w:rPr>
          <w:lang w:val="en-GB"/>
        </w:rPr>
        <w:t>Three models, based on object surface or the largest fire compartment area and selected from the European Safety guideline (UNECE, 2019), have been investigated. The analysis is</w:t>
      </w:r>
      <w:r w:rsidR="009C3C83" w:rsidRPr="0078686C">
        <w:rPr>
          <w:lang w:val="en-GB"/>
        </w:rPr>
        <w:t>,</w:t>
      </w:r>
      <w:r w:rsidRPr="0078686C">
        <w:rPr>
          <w:lang w:val="en-GB"/>
        </w:rPr>
        <w:t xml:space="preserve"> further</w:t>
      </w:r>
      <w:r w:rsidR="009C3C83" w:rsidRPr="0078686C">
        <w:rPr>
          <w:lang w:val="en-GB"/>
        </w:rPr>
        <w:t>,</w:t>
      </w:r>
      <w:r w:rsidRPr="0078686C">
        <w:rPr>
          <w:lang w:val="en-GB"/>
        </w:rPr>
        <w:t xml:space="preserve"> enhanced with two alternative calculation models that consider the contribution of the discharged firefighting foam extinguishing system</w:t>
      </w:r>
      <w:r w:rsidR="00375258" w:rsidRPr="0078686C">
        <w:rPr>
          <w:lang w:val="en-GB"/>
        </w:rPr>
        <w:t>.</w:t>
      </w:r>
    </w:p>
    <w:p w14:paraId="17D79D20" w14:textId="77777777" w:rsidR="008177BC" w:rsidRPr="0078686C" w:rsidRDefault="008177BC" w:rsidP="0078686C">
      <w:pPr>
        <w:pStyle w:val="CETHeading1"/>
        <w:numPr>
          <w:ilvl w:val="1"/>
          <w:numId w:val="1"/>
        </w:numPr>
        <w:tabs>
          <w:tab w:val="num" w:pos="360"/>
        </w:tabs>
        <w:rPr>
          <w:lang w:val="en-GB"/>
        </w:rPr>
      </w:pPr>
      <w:r w:rsidRPr="0078686C">
        <w:rPr>
          <w:lang w:val="en-GB"/>
        </w:rPr>
        <w:t>Introduction</w:t>
      </w:r>
    </w:p>
    <w:p w14:paraId="488516C6" w14:textId="7AA3934B" w:rsidR="00C07D3C" w:rsidRPr="0078686C" w:rsidRDefault="00486C1C" w:rsidP="0078686C">
      <w:pPr>
        <w:pStyle w:val="CETBodytext"/>
        <w:rPr>
          <w:lang w:val="en-GB"/>
        </w:rPr>
      </w:pPr>
      <w:r w:rsidRPr="0078686C">
        <w:rPr>
          <w:lang w:val="en-GB"/>
        </w:rPr>
        <w:t>Fires are adverse events that harm the environment.</w:t>
      </w:r>
      <w:r w:rsidRPr="00486C1C">
        <w:rPr>
          <w:rFonts w:cs="Arial"/>
          <w:lang w:val="en-GB"/>
        </w:rPr>
        <w:t> </w:t>
      </w:r>
      <w:r w:rsidR="009B5188" w:rsidRPr="0078686C">
        <w:rPr>
          <w:lang w:val="en-GB"/>
        </w:rPr>
        <w:t xml:space="preserve">The </w:t>
      </w:r>
      <w:r w:rsidR="0016086F" w:rsidRPr="0078686C">
        <w:rPr>
          <w:lang w:val="en-GB"/>
        </w:rPr>
        <w:t>volume</w:t>
      </w:r>
      <w:r w:rsidR="009B5188" w:rsidRPr="0078686C">
        <w:rPr>
          <w:lang w:val="en-GB"/>
        </w:rPr>
        <w:t xml:space="preserve"> of firewater to be discharged in the </w:t>
      </w:r>
      <w:r w:rsidR="00031BC9" w:rsidRPr="0078686C">
        <w:rPr>
          <w:lang w:val="en-GB"/>
        </w:rPr>
        <w:t>retention</w:t>
      </w:r>
      <w:r w:rsidR="009B5188" w:rsidRPr="0078686C">
        <w:rPr>
          <w:lang w:val="en-GB"/>
        </w:rPr>
        <w:t xml:space="preserve"> basins is a challenging undertaking since the prediction of the duration of a fire and the amount of water needed to extinguish it depends on many variables. </w:t>
      </w:r>
      <w:r w:rsidR="00B90E93" w:rsidRPr="0078686C">
        <w:rPr>
          <w:lang w:val="en-GB"/>
        </w:rPr>
        <w:t>S</w:t>
      </w:r>
      <w:r w:rsidR="009B5188" w:rsidRPr="0078686C">
        <w:rPr>
          <w:lang w:val="en-GB"/>
        </w:rPr>
        <w:t>ome guidelines for predicting the duration of a fire can be established by making assumptions about the amount of flammable or combustible materials in a process unit and considering factors such as the rate at which the liquid burns, the effects of evaporation, the design of fire-fighting systems, and the use of process isolation devices.</w:t>
      </w:r>
    </w:p>
    <w:p w14:paraId="422088E0" w14:textId="6C7EDF96" w:rsidR="009B5188" w:rsidRPr="0078686C" w:rsidRDefault="00600E4D" w:rsidP="0078686C">
      <w:pPr>
        <w:pStyle w:val="CETheadingx"/>
        <w:rPr>
          <w:lang w:val="en-GB"/>
        </w:rPr>
      </w:pPr>
      <w:r w:rsidRPr="0078686C">
        <w:rPr>
          <w:lang w:val="en-GB"/>
        </w:rPr>
        <w:t>Aromatic Plant</w:t>
      </w:r>
      <w:r w:rsidR="00DF4D78" w:rsidRPr="0078686C">
        <w:rPr>
          <w:lang w:val="en-GB"/>
        </w:rPr>
        <w:t xml:space="preserve"> Case Study</w:t>
      </w:r>
    </w:p>
    <w:p w14:paraId="506D95C3" w14:textId="7056AD4A" w:rsidR="00D8013F" w:rsidRPr="00627C58" w:rsidRDefault="00D8013F" w:rsidP="0078686C">
      <w:pPr>
        <w:pStyle w:val="CETBodytext"/>
        <w:rPr>
          <w:rFonts w:cs="Arial"/>
        </w:rPr>
      </w:pPr>
      <w:r w:rsidRPr="00627C58">
        <w:rPr>
          <w:rFonts w:cs="Arial"/>
        </w:rPr>
        <w:t xml:space="preserve">The </w:t>
      </w:r>
      <w:r w:rsidR="00286654">
        <w:rPr>
          <w:rFonts w:cs="Arial"/>
        </w:rPr>
        <w:t xml:space="preserve">analyzed </w:t>
      </w:r>
      <w:r w:rsidRPr="00627C58">
        <w:rPr>
          <w:rFonts w:cs="Arial"/>
        </w:rPr>
        <w:t xml:space="preserve">case study considers an aromatic complex designed by Maire Tecnimont in </w:t>
      </w:r>
      <w:r w:rsidR="009D2F19">
        <w:rPr>
          <w:rFonts w:cs="Arial"/>
        </w:rPr>
        <w:t xml:space="preserve">the </w:t>
      </w:r>
      <w:r w:rsidRPr="00627C58">
        <w:rPr>
          <w:rFonts w:cs="Arial"/>
        </w:rPr>
        <w:t>south</w:t>
      </w:r>
      <w:r w:rsidR="006F4C2E">
        <w:rPr>
          <w:rFonts w:cs="Arial"/>
        </w:rPr>
        <w:t>ern</w:t>
      </w:r>
      <w:r w:rsidR="009D2F19">
        <w:rPr>
          <w:rFonts w:cs="Arial"/>
        </w:rPr>
        <w:t xml:space="preserve"> </w:t>
      </w:r>
      <w:r w:rsidRPr="00627C58">
        <w:rPr>
          <w:rFonts w:cs="Arial"/>
        </w:rPr>
        <w:t>Europe, where a possible accidental scenario is the release of flammable hydrocarbons in liquid and gas phase that can produce a fire that could escalate</w:t>
      </w:r>
      <w:r w:rsidR="0085118D" w:rsidRPr="00627C58">
        <w:rPr>
          <w:rFonts w:cs="Arial"/>
        </w:rPr>
        <w:t>.</w:t>
      </w:r>
      <w:r w:rsidRPr="00627C58">
        <w:rPr>
          <w:rFonts w:cs="Arial"/>
        </w:rPr>
        <w:t xml:space="preserve"> An active fire protection system</w:t>
      </w:r>
      <w:r w:rsidR="00E46B74" w:rsidRPr="00627C58">
        <w:rPr>
          <w:rFonts w:cs="Arial"/>
        </w:rPr>
        <w:t>,</w:t>
      </w:r>
      <w:r w:rsidR="0085118D" w:rsidRPr="00627C58">
        <w:rPr>
          <w:rFonts w:cs="Arial"/>
        </w:rPr>
        <w:t xml:space="preserve"> </w:t>
      </w:r>
      <w:r w:rsidR="00764BB7" w:rsidRPr="00627C58">
        <w:rPr>
          <w:rFonts w:cs="Arial"/>
        </w:rPr>
        <w:t>which</w:t>
      </w:r>
      <w:r w:rsidR="0085118D" w:rsidRPr="00627C58">
        <w:rPr>
          <w:rFonts w:cs="Arial"/>
        </w:rPr>
        <w:t xml:space="preserve"> includes water and foam-based systems</w:t>
      </w:r>
      <w:r w:rsidR="00E46B74" w:rsidRPr="00627C58">
        <w:rPr>
          <w:rFonts w:cs="Arial"/>
        </w:rPr>
        <w:t>,</w:t>
      </w:r>
      <w:r w:rsidRPr="00627C58">
        <w:rPr>
          <w:rFonts w:cs="Arial"/>
        </w:rPr>
        <w:t xml:space="preserve"> is adopted to control and/or extinguish the fires that may occur in the facility, limiting its escalation and minimizing the effects to facilities when exposed to the resulting radiation.</w:t>
      </w:r>
    </w:p>
    <w:p w14:paraId="75DA6A3B" w14:textId="17011C70" w:rsidR="00770BB6" w:rsidRPr="00627C58" w:rsidRDefault="00770BB6" w:rsidP="0078686C">
      <w:pPr>
        <w:pStyle w:val="CETheadingx"/>
        <w:rPr>
          <w:rFonts w:cs="Arial"/>
        </w:rPr>
      </w:pPr>
      <w:r w:rsidRPr="00627C58">
        <w:rPr>
          <w:rFonts w:cs="Arial"/>
        </w:rPr>
        <w:t>Fire scenario</w:t>
      </w:r>
    </w:p>
    <w:p w14:paraId="564B5D62" w14:textId="4842D243" w:rsidR="00600E4D" w:rsidRPr="0078686C" w:rsidRDefault="00770BB6" w:rsidP="0078686C">
      <w:pPr>
        <w:pStyle w:val="CETBodytext"/>
        <w:rPr>
          <w:highlight w:val="yellow"/>
        </w:rPr>
      </w:pPr>
      <w:r w:rsidRPr="00627C58">
        <w:rPr>
          <w:rFonts w:cs="Arial"/>
        </w:rPr>
        <w:t>The scenario is a fire in the process area where the discharged FW is calculated to provide simultaneous firefighting, fire intensity control and exposure protection of process equipment of the fire area</w:t>
      </w:r>
      <w:r w:rsidR="00990998" w:rsidRPr="00627C58">
        <w:rPr>
          <w:rFonts w:cs="Arial"/>
        </w:rPr>
        <w:t xml:space="preserve"> made by</w:t>
      </w:r>
      <w:r w:rsidRPr="00627C58">
        <w:rPr>
          <w:rFonts w:cs="Arial"/>
        </w:rPr>
        <w:t xml:space="preserve"> a single fire-scenario envelope. Firefighting is provided by </w:t>
      </w:r>
      <w:r w:rsidR="00990998" w:rsidRPr="00627C58">
        <w:rPr>
          <w:rFonts w:cs="Arial"/>
        </w:rPr>
        <w:t>two</w:t>
      </w:r>
      <w:r w:rsidRPr="00627C58">
        <w:rPr>
          <w:rFonts w:cs="Arial"/>
        </w:rPr>
        <w:t xml:space="preserve"> monitors from opposite directions and </w:t>
      </w:r>
      <w:r w:rsidR="00510AA8">
        <w:rPr>
          <w:rFonts w:cs="Arial"/>
        </w:rPr>
        <w:t xml:space="preserve">by </w:t>
      </w:r>
      <w:r w:rsidRPr="00627C58">
        <w:rPr>
          <w:rFonts w:cs="Arial"/>
        </w:rPr>
        <w:t>the water spray systems</w:t>
      </w:r>
      <w:r w:rsidR="00510AA8">
        <w:rPr>
          <w:rFonts w:cs="Arial"/>
        </w:rPr>
        <w:t xml:space="preserve"> activated by Fire Detection system</w:t>
      </w:r>
      <w:r w:rsidRPr="00627C58">
        <w:rPr>
          <w:rFonts w:cs="Arial"/>
        </w:rPr>
        <w:t xml:space="preserve">. </w:t>
      </w:r>
      <w:r w:rsidR="00990998" w:rsidRPr="00627C58">
        <w:rPr>
          <w:rFonts w:cs="Arial"/>
        </w:rPr>
        <w:t>Furthermore, two</w:t>
      </w:r>
      <w:r w:rsidRPr="00627C58">
        <w:rPr>
          <w:rFonts w:cs="Arial"/>
        </w:rPr>
        <w:t xml:space="preserve"> hydrants </w:t>
      </w:r>
      <w:r w:rsidR="00510AA8" w:rsidRPr="00627C58">
        <w:rPr>
          <w:rFonts w:cs="Arial"/>
        </w:rPr>
        <w:t xml:space="preserve">and two hose reel stations </w:t>
      </w:r>
      <w:r w:rsidRPr="00627C58">
        <w:rPr>
          <w:rFonts w:cs="Arial"/>
        </w:rPr>
        <w:t>are assumed to be in service inside the process area.</w:t>
      </w:r>
    </w:p>
    <w:p w14:paraId="3CA47E8B" w14:textId="1A978B89" w:rsidR="00B10DF3" w:rsidRPr="0078686C" w:rsidRDefault="00E77B17" w:rsidP="0078686C">
      <w:pPr>
        <w:pStyle w:val="CETBodytext"/>
        <w:rPr>
          <w:lang w:val="en-GB"/>
        </w:rPr>
      </w:pPr>
      <w:r w:rsidRPr="0078686C">
        <w:rPr>
          <w:lang w:val="en-GB"/>
        </w:rPr>
        <w:t>All the models for FW runoff estimation are applied considering the biggest fire area, in terms of FW demand and surface extension of an Isomerization and Fractionation Unit</w:t>
      </w:r>
      <w:r w:rsidR="00B16CDA" w:rsidRPr="0078686C">
        <w:rPr>
          <w:lang w:val="en-GB"/>
        </w:rPr>
        <w:t xml:space="preserve"> (FA-7)</w:t>
      </w:r>
      <w:r w:rsidRPr="0078686C">
        <w:rPr>
          <w:lang w:val="en-GB"/>
        </w:rPr>
        <w:t xml:space="preserve"> </w:t>
      </w:r>
      <w:r w:rsidR="00B16CDA" w:rsidRPr="0078686C">
        <w:rPr>
          <w:lang w:val="en-GB"/>
        </w:rPr>
        <w:t xml:space="preserve">and for fire area in the Refrigeration Unit (FA-15) </w:t>
      </w:r>
      <w:r w:rsidRPr="0078686C">
        <w:rPr>
          <w:lang w:val="en-GB"/>
        </w:rPr>
        <w:t>of an Aromatics plant.</w:t>
      </w:r>
      <w:r w:rsidR="005218C6" w:rsidRPr="0078686C">
        <w:rPr>
          <w:lang w:val="en-GB"/>
        </w:rPr>
        <w:t xml:space="preserve"> </w:t>
      </w:r>
      <w:r w:rsidR="004324FB" w:rsidRPr="0078686C">
        <w:rPr>
          <w:lang w:val="en-GB"/>
        </w:rPr>
        <w:t xml:space="preserve">In case of an accidental fire, the fire water runoff and discharged foam solution are collected in the retention basin 374-UT-002. The basin for the collection of potentially polluted rainwater/firewater basin is part of wastewater treatment plant. </w:t>
      </w:r>
      <w:r w:rsidR="00B10DF3" w:rsidRPr="0078686C">
        <w:rPr>
          <w:lang w:val="en-GB"/>
        </w:rPr>
        <w:t xml:space="preserve">To determine the retention volume required for </w:t>
      </w:r>
      <w:r w:rsidR="00B10DF3" w:rsidRPr="0078686C">
        <w:rPr>
          <w:lang w:val="en-GB"/>
        </w:rPr>
        <w:lastRenderedPageBreak/>
        <w:t>FW runoff for the area with the highest fire contingency,</w:t>
      </w:r>
      <w:r w:rsidR="00D34A9B" w:rsidRPr="0078686C">
        <w:rPr>
          <w:lang w:val="en-GB"/>
        </w:rPr>
        <w:t xml:space="preserve"> the</w:t>
      </w:r>
      <w:r w:rsidR="00B10DF3" w:rsidRPr="0078686C">
        <w:rPr>
          <w:lang w:val="en-GB"/>
        </w:rPr>
        <w:t xml:space="preserve"> UNECE guidelines have been taken as reference </w:t>
      </w:r>
      <w:r w:rsidR="00864A6C" w:rsidRPr="0078686C">
        <w:rPr>
          <w:lang w:val="en-GB"/>
        </w:rPr>
        <w:t>(</w:t>
      </w:r>
      <w:r w:rsidR="00C63DFF" w:rsidRPr="0078686C">
        <w:rPr>
          <w:lang w:val="en-GB"/>
        </w:rPr>
        <w:t>UNECE, 2019</w:t>
      </w:r>
      <w:r w:rsidR="00864A6C" w:rsidRPr="0078686C">
        <w:rPr>
          <w:lang w:val="en-GB"/>
        </w:rPr>
        <w:t>)</w:t>
      </w:r>
      <w:r w:rsidR="00B10DF3" w:rsidRPr="0078686C">
        <w:rPr>
          <w:lang w:val="en-GB"/>
        </w:rPr>
        <w:t>.</w:t>
      </w:r>
    </w:p>
    <w:p w14:paraId="46D66063" w14:textId="607D1C01" w:rsidR="00002FD0" w:rsidRPr="0078686C" w:rsidRDefault="00002FD0" w:rsidP="0078686C">
      <w:pPr>
        <w:pStyle w:val="CETHeading1"/>
        <w:numPr>
          <w:ilvl w:val="1"/>
          <w:numId w:val="1"/>
        </w:numPr>
        <w:tabs>
          <w:tab w:val="num" w:pos="360"/>
        </w:tabs>
        <w:rPr>
          <w:lang w:val="en-GB"/>
        </w:rPr>
      </w:pPr>
      <w:r w:rsidRPr="0078686C">
        <w:rPr>
          <w:lang w:val="en-GB"/>
        </w:rPr>
        <w:t>Models</w:t>
      </w:r>
    </w:p>
    <w:p w14:paraId="2AB5FB97" w14:textId="293C7DE6" w:rsidR="00B76004" w:rsidRPr="0078686C" w:rsidRDefault="00B76004" w:rsidP="0078686C">
      <w:pPr>
        <w:pStyle w:val="CETBodytext"/>
        <w:rPr>
          <w:lang w:val="en-GB"/>
        </w:rPr>
      </w:pPr>
      <w:r w:rsidRPr="0078686C">
        <w:rPr>
          <w:lang w:val="en-GB"/>
        </w:rPr>
        <w:t>In the present study three different models extracted from the UNECE guidelines have been considered</w:t>
      </w:r>
      <w:r w:rsidR="00FE007F" w:rsidRPr="0078686C">
        <w:rPr>
          <w:lang w:val="en-GB"/>
        </w:rPr>
        <w:t>:</w:t>
      </w:r>
    </w:p>
    <w:p w14:paraId="7ACDE7E4" w14:textId="77777777" w:rsidR="00FE007F" w:rsidRPr="0078686C" w:rsidRDefault="00FE007F" w:rsidP="0078686C">
      <w:pPr>
        <w:pStyle w:val="CETBodytext"/>
        <w:rPr>
          <w:lang w:val="en-GB"/>
        </w:rPr>
      </w:pPr>
    </w:p>
    <w:p w14:paraId="228195C4" w14:textId="42D0D538" w:rsidR="00B76004" w:rsidRPr="00627C58" w:rsidRDefault="00B76004" w:rsidP="0078686C">
      <w:pPr>
        <w:pStyle w:val="CETListbullets"/>
        <w:numPr>
          <w:ilvl w:val="0"/>
          <w:numId w:val="13"/>
        </w:numPr>
        <w:rPr>
          <w:rFonts w:cs="Arial"/>
        </w:rPr>
      </w:pPr>
      <w:r w:rsidRPr="00627C58">
        <w:rPr>
          <w:rFonts w:cs="Arial"/>
        </w:rPr>
        <w:t xml:space="preserve">The </w:t>
      </w:r>
      <w:r w:rsidRPr="0078686C">
        <w:rPr>
          <w:lang w:val="de-DE"/>
        </w:rPr>
        <w:t xml:space="preserve">Verband Der Schadenversicherer e.v. </w:t>
      </w:r>
      <w:r w:rsidRPr="00627C58">
        <w:rPr>
          <w:rFonts w:cs="Arial"/>
        </w:rPr>
        <w:t>(association of non-life insurers)</w:t>
      </w:r>
      <w:r w:rsidR="00830FC3" w:rsidRPr="00627C58">
        <w:rPr>
          <w:rFonts w:cs="Arial"/>
        </w:rPr>
        <w:t xml:space="preserve"> -</w:t>
      </w:r>
      <w:r w:rsidR="00FE007F" w:rsidRPr="00627C58">
        <w:rPr>
          <w:rFonts w:cs="Arial"/>
        </w:rPr>
        <w:t xml:space="preserve"> </w:t>
      </w:r>
      <w:r w:rsidRPr="00627C58">
        <w:rPr>
          <w:rFonts w:cs="Arial"/>
        </w:rPr>
        <w:t xml:space="preserve">VDS model; </w:t>
      </w:r>
    </w:p>
    <w:p w14:paraId="605B45BC" w14:textId="1C68FCF7" w:rsidR="00B76004" w:rsidRPr="00627C58" w:rsidRDefault="00B76004" w:rsidP="0078686C">
      <w:pPr>
        <w:pStyle w:val="CETListbullets"/>
        <w:numPr>
          <w:ilvl w:val="0"/>
          <w:numId w:val="13"/>
        </w:numPr>
        <w:rPr>
          <w:rFonts w:cs="Arial"/>
        </w:rPr>
      </w:pPr>
      <w:r w:rsidRPr="00627C58">
        <w:rPr>
          <w:rFonts w:cs="Arial"/>
        </w:rPr>
        <w:t>The joint expert group on water and industrial accidents model</w:t>
      </w:r>
      <w:r w:rsidR="00830FC3" w:rsidRPr="00627C58">
        <w:rPr>
          <w:rFonts w:cs="Arial"/>
        </w:rPr>
        <w:t xml:space="preserve"> -</w:t>
      </w:r>
      <w:r w:rsidRPr="00627C58">
        <w:rPr>
          <w:rFonts w:cs="Arial"/>
        </w:rPr>
        <w:t xml:space="preserve"> JEG advanced model;</w:t>
      </w:r>
    </w:p>
    <w:p w14:paraId="288F2CB8" w14:textId="155ADB28" w:rsidR="00B76004" w:rsidRPr="00627C58" w:rsidRDefault="00B76004" w:rsidP="0078686C">
      <w:pPr>
        <w:pStyle w:val="CETListbullets"/>
        <w:numPr>
          <w:ilvl w:val="0"/>
          <w:numId w:val="13"/>
        </w:numPr>
        <w:rPr>
          <w:rFonts w:cs="Arial"/>
        </w:rPr>
      </w:pPr>
      <w:r w:rsidRPr="00627C58">
        <w:rPr>
          <w:rFonts w:cs="Arial"/>
        </w:rPr>
        <w:t>The German federal state of Hessen model;</w:t>
      </w:r>
    </w:p>
    <w:p w14:paraId="1F311221" w14:textId="77777777" w:rsidR="00830FC3" w:rsidRPr="0078686C" w:rsidRDefault="00830FC3" w:rsidP="0078686C">
      <w:pPr>
        <w:pStyle w:val="CETBodytext"/>
        <w:rPr>
          <w:lang w:val="en-GB"/>
        </w:rPr>
      </w:pPr>
    </w:p>
    <w:p w14:paraId="16262C70" w14:textId="66FEBBA5" w:rsidR="002B1F44" w:rsidRPr="0078686C" w:rsidRDefault="00B76004" w:rsidP="0078686C">
      <w:pPr>
        <w:pStyle w:val="CETBodytext"/>
        <w:rPr>
          <w:lang w:val="en-GB"/>
        </w:rPr>
      </w:pPr>
      <w:r w:rsidRPr="0078686C">
        <w:rPr>
          <w:lang w:val="en-GB"/>
        </w:rPr>
        <w:t xml:space="preserve">All models are based on </w:t>
      </w:r>
      <w:r w:rsidRPr="00D34A9B">
        <w:rPr>
          <w:rFonts w:cs="Arial"/>
          <w:lang w:val="en-GB"/>
        </w:rPr>
        <w:t>“</w:t>
      </w:r>
      <w:r w:rsidRPr="0078686C">
        <w:rPr>
          <w:lang w:val="en-GB"/>
        </w:rPr>
        <w:t>object surface or largest fire compartment area</w:t>
      </w:r>
      <w:r w:rsidRPr="00D34A9B">
        <w:rPr>
          <w:rFonts w:cs="Arial"/>
          <w:lang w:val="en-GB"/>
        </w:rPr>
        <w:t>”.</w:t>
      </w:r>
      <w:r w:rsidR="00401315" w:rsidRPr="0078686C">
        <w:rPr>
          <w:lang w:val="en-GB"/>
        </w:rPr>
        <w:t xml:space="preserve"> </w:t>
      </w:r>
      <w:r w:rsidR="002B1F44" w:rsidRPr="0078686C">
        <w:rPr>
          <w:lang w:val="en-GB"/>
        </w:rPr>
        <w:t>The analysis is</w:t>
      </w:r>
      <w:r w:rsidR="00D34A9B" w:rsidRPr="0078686C">
        <w:rPr>
          <w:lang w:val="en-GB"/>
        </w:rPr>
        <w:t xml:space="preserve"> then</w:t>
      </w:r>
      <w:r w:rsidR="002B1F44" w:rsidRPr="0078686C">
        <w:rPr>
          <w:lang w:val="en-GB"/>
        </w:rPr>
        <w:t xml:space="preserve"> integrated with two alternative calculation models not connected to </w:t>
      </w:r>
      <w:r w:rsidR="002B1F44" w:rsidRPr="00D34A9B">
        <w:rPr>
          <w:rFonts w:cs="Arial"/>
          <w:lang w:val="en-GB"/>
        </w:rPr>
        <w:t>“</w:t>
      </w:r>
      <w:r w:rsidR="002B1F44" w:rsidRPr="0078686C">
        <w:rPr>
          <w:lang w:val="en-GB"/>
        </w:rPr>
        <w:t>object surface or largest fire compartment area</w:t>
      </w:r>
      <w:r w:rsidR="002B1F44" w:rsidRPr="00D34A9B">
        <w:rPr>
          <w:rFonts w:cs="Arial"/>
          <w:lang w:val="en-GB"/>
        </w:rPr>
        <w:t>”</w:t>
      </w:r>
      <w:r w:rsidR="002B1F44" w:rsidRPr="0078686C">
        <w:rPr>
          <w:lang w:val="en-GB"/>
        </w:rPr>
        <w:t xml:space="preserve"> and developed considering the contribution of discharged firefighting foam extinguishing system present in the study case and the time to deliver </w:t>
      </w:r>
      <w:r w:rsidR="00B05545" w:rsidRPr="0078686C">
        <w:rPr>
          <w:lang w:val="en-GB"/>
        </w:rPr>
        <w:t>the water/foam solution</w:t>
      </w:r>
      <w:r w:rsidR="002B1F44" w:rsidRPr="0078686C">
        <w:rPr>
          <w:lang w:val="en-GB"/>
        </w:rPr>
        <w:t xml:space="preserve"> to the retention basin. The two models are:</w:t>
      </w:r>
    </w:p>
    <w:p w14:paraId="51837F6E" w14:textId="77777777" w:rsidR="002B1F44" w:rsidRPr="0078686C" w:rsidRDefault="002B1F44" w:rsidP="0078686C">
      <w:pPr>
        <w:pStyle w:val="CETBodytext"/>
        <w:rPr>
          <w:lang w:val="en-GB"/>
        </w:rPr>
      </w:pPr>
    </w:p>
    <w:p w14:paraId="3CBC8863" w14:textId="68E10DDC" w:rsidR="002B1F44" w:rsidRPr="00627C58" w:rsidRDefault="002B1F44" w:rsidP="0078686C">
      <w:pPr>
        <w:pStyle w:val="CETListbullets"/>
        <w:numPr>
          <w:ilvl w:val="0"/>
          <w:numId w:val="13"/>
        </w:numPr>
        <w:rPr>
          <w:rFonts w:cs="Arial"/>
        </w:rPr>
      </w:pPr>
      <w:r w:rsidRPr="00627C58">
        <w:rPr>
          <w:rFonts w:cs="Arial"/>
        </w:rPr>
        <w:t xml:space="preserve">The burning rate method </w:t>
      </w:r>
      <w:r w:rsidR="008E33DE" w:rsidRPr="00627C58">
        <w:rPr>
          <w:rFonts w:cs="Arial"/>
        </w:rPr>
        <w:t xml:space="preserve">(Rigolio, </w:t>
      </w:r>
      <w:r w:rsidR="0098755C" w:rsidRPr="00627C58">
        <w:rPr>
          <w:rFonts w:cs="Arial"/>
        </w:rPr>
        <w:t>2010)</w:t>
      </w:r>
      <w:r w:rsidRPr="00627C58">
        <w:rPr>
          <w:rFonts w:cs="Arial"/>
        </w:rPr>
        <w:t>;</w:t>
      </w:r>
    </w:p>
    <w:p w14:paraId="27C9073F" w14:textId="031411E5" w:rsidR="002B1F44" w:rsidRPr="00627C58" w:rsidRDefault="002B1F44" w:rsidP="0078686C">
      <w:pPr>
        <w:pStyle w:val="CETListbullets"/>
        <w:numPr>
          <w:ilvl w:val="0"/>
          <w:numId w:val="13"/>
        </w:numPr>
        <w:rPr>
          <w:rFonts w:cs="Arial"/>
        </w:rPr>
      </w:pPr>
      <w:r w:rsidRPr="00627C58">
        <w:rPr>
          <w:rFonts w:cs="Arial"/>
        </w:rPr>
        <w:t xml:space="preserve">The “Four Phases Intervention Model”. </w:t>
      </w:r>
    </w:p>
    <w:p w14:paraId="11D77951" w14:textId="33FF3544" w:rsidR="00705501" w:rsidRPr="00221CE1" w:rsidRDefault="00705501" w:rsidP="0078686C">
      <w:pPr>
        <w:pStyle w:val="CETheadingx"/>
      </w:pPr>
      <w:r w:rsidRPr="00221CE1">
        <w:t xml:space="preserve">VDS Model </w:t>
      </w:r>
    </w:p>
    <w:p w14:paraId="0E83CD10" w14:textId="4EA94DF8" w:rsidR="00705501" w:rsidRPr="0078686C" w:rsidRDefault="00705501" w:rsidP="0078686C">
      <w:pPr>
        <w:pStyle w:val="CETBodytext"/>
        <w:rPr>
          <w:lang w:val="en-GB"/>
        </w:rPr>
      </w:pPr>
      <w:r w:rsidRPr="0078686C">
        <w:rPr>
          <w:lang w:val="en-GB"/>
        </w:rPr>
        <w:t xml:space="preserve">The model </w:t>
      </w:r>
      <w:r w:rsidRPr="00627C58">
        <w:rPr>
          <w:rFonts w:cs="Arial"/>
          <w:lang w:val="en-GB"/>
        </w:rPr>
        <w:t>is</w:t>
      </w:r>
      <w:r w:rsidRPr="0078686C">
        <w:rPr>
          <w:lang w:val="en-GB"/>
        </w:rPr>
        <w:t xml:space="preserve"> developed by the German insurance industry and published as Guideline VDS 2257 </w:t>
      </w:r>
      <w:r w:rsidR="00EC40C2" w:rsidRPr="0078686C">
        <w:rPr>
          <w:lang w:val="en-GB"/>
        </w:rPr>
        <w:t>(UNECE, 2019)</w:t>
      </w:r>
      <w:r w:rsidRPr="0078686C">
        <w:rPr>
          <w:lang w:val="en-GB"/>
        </w:rPr>
        <w:t>. This model takes into consideration the type and quantity of combustible materials, the presence of fire detection systems, the size of the largest fire compartment, the type of fire brigade and the fire protection technical infrastructure</w:t>
      </w:r>
      <w:r w:rsidRPr="00627C58">
        <w:rPr>
          <w:rFonts w:cs="Arial"/>
          <w:lang w:val="en-GB"/>
        </w:rPr>
        <w:t>”. Formula</w:t>
      </w:r>
      <w:r w:rsidRPr="0078686C">
        <w:rPr>
          <w:lang w:val="en-GB"/>
        </w:rPr>
        <w:t xml:space="preserve"> is reported below.</w:t>
      </w:r>
    </w:p>
    <w:tbl>
      <w:tblPr>
        <w:tblW w:w="5000" w:type="pct"/>
        <w:tblLook w:val="04A0" w:firstRow="1" w:lastRow="0" w:firstColumn="1" w:lastColumn="0" w:noHBand="0" w:noVBand="1"/>
      </w:tblPr>
      <w:tblGrid>
        <w:gridCol w:w="7972"/>
        <w:gridCol w:w="815"/>
      </w:tblGrid>
      <w:tr w:rsidR="00FE430E" w:rsidRPr="00627C58" w14:paraId="131980E1" w14:textId="77777777" w:rsidTr="00401315">
        <w:tc>
          <w:tcPr>
            <w:tcW w:w="7512" w:type="dxa"/>
            <w:shd w:val="clear" w:color="auto" w:fill="auto"/>
            <w:vAlign w:val="center"/>
          </w:tcPr>
          <w:p w14:paraId="39F7AC9E" w14:textId="52D8D0F6" w:rsidR="00FE430E" w:rsidRPr="00627C58" w:rsidRDefault="00627C58" w:rsidP="00AB230F">
            <w:pPr>
              <w:pStyle w:val="CETEquation"/>
              <w:jc w:val="center"/>
              <w:rPr>
                <w:rFonts w:cs="Arial"/>
              </w:rPr>
            </w:pPr>
            <m:oMathPara>
              <m:oMath>
                <m:r>
                  <w:rPr>
                    <w:rFonts w:ascii="Cambria Math" w:hAnsi="Cambria Math" w:cs="Arial"/>
                  </w:rPr>
                  <m:t>R</m:t>
                </m:r>
                <m:r>
                  <m:rPr>
                    <m:sty m:val="p"/>
                  </m:rPr>
                  <w:rPr>
                    <w:rFonts w:ascii="Cambria Math" w:hAnsi="Cambria Math" w:cs="Arial"/>
                  </w:rPr>
                  <m:t xml:space="preserve"> = </m:t>
                </m:r>
                <m:f>
                  <m:fPr>
                    <m:ctrlPr>
                      <w:rPr>
                        <w:rFonts w:ascii="Cambria Math" w:hAnsi="Cambria Math" w:cs="Arial"/>
                      </w:rPr>
                    </m:ctrlPr>
                  </m:fPr>
                  <m:num>
                    <m:d>
                      <m:dPr>
                        <m:ctrlPr>
                          <w:rPr>
                            <w:rFonts w:ascii="Cambria Math" w:hAnsi="Cambria Math" w:cs="Arial"/>
                          </w:rPr>
                        </m:ctrlPr>
                      </m:dPr>
                      <m:e>
                        <m:r>
                          <w:rPr>
                            <w:rFonts w:ascii="Cambria Math" w:hAnsi="Cambria Math" w:cs="Arial"/>
                          </w:rPr>
                          <m:t>A</m:t>
                        </m:r>
                        <m:r>
                          <m:rPr>
                            <m:sty m:val="p"/>
                          </m:rPr>
                          <w:rPr>
                            <w:rFonts w:ascii="Cambria Math" w:hAnsi="Cambria Math" w:cs="Arial"/>
                          </w:rPr>
                          <m:t xml:space="preserve"> ∙ </m:t>
                        </m:r>
                        <m:r>
                          <w:rPr>
                            <w:rFonts w:ascii="Cambria Math" w:hAnsi="Cambria Math" w:cs="Arial"/>
                          </w:rPr>
                          <m:t>SWL</m:t>
                        </m:r>
                        <m:r>
                          <m:rPr>
                            <m:sty m:val="p"/>
                          </m:rPr>
                          <w:rPr>
                            <w:rFonts w:ascii="Cambria Math" w:hAnsi="Cambria Math" w:cs="Arial"/>
                          </w:rPr>
                          <m:t xml:space="preserve"> ∙ </m:t>
                        </m:r>
                        <m:r>
                          <w:rPr>
                            <w:rFonts w:ascii="Cambria Math" w:hAnsi="Cambria Math" w:cs="Arial"/>
                          </w:rPr>
                          <m:t>BAF</m:t>
                        </m:r>
                        <m:r>
                          <m:rPr>
                            <m:sty m:val="p"/>
                          </m:rPr>
                          <w:rPr>
                            <w:rFonts w:ascii="Cambria Math" w:hAnsi="Cambria Math" w:cs="Arial"/>
                          </w:rPr>
                          <m:t xml:space="preserve"> ∙ </m:t>
                        </m:r>
                        <m:r>
                          <w:rPr>
                            <w:rFonts w:ascii="Cambria Math" w:hAnsi="Cambria Math" w:cs="Arial"/>
                          </w:rPr>
                          <m:t>BBF</m:t>
                        </m:r>
                      </m:e>
                    </m:d>
                    <m:r>
                      <m:rPr>
                        <m:sty m:val="p"/>
                      </m:rPr>
                      <w:rPr>
                        <w:rFonts w:ascii="Cambria Math" w:hAnsi="Cambria Math" w:cs="Arial"/>
                      </w:rPr>
                      <m:t xml:space="preserve"> +</m:t>
                    </m:r>
                    <m:r>
                      <w:rPr>
                        <w:rFonts w:ascii="Cambria Math" w:hAnsi="Cambria Math" w:cs="Arial"/>
                      </w:rPr>
                      <m:t>M</m:t>
                    </m:r>
                  </m:num>
                  <m:den>
                    <m:r>
                      <w:rPr>
                        <w:rFonts w:ascii="Cambria Math" w:hAnsi="Cambria Math" w:cs="Arial"/>
                      </w:rPr>
                      <m:t>BSF</m:t>
                    </m:r>
                  </m:den>
                </m:f>
              </m:oMath>
            </m:oMathPara>
          </w:p>
        </w:tc>
        <w:tc>
          <w:tcPr>
            <w:tcW w:w="768" w:type="dxa"/>
            <w:shd w:val="clear" w:color="auto" w:fill="auto"/>
            <w:vAlign w:val="center"/>
          </w:tcPr>
          <w:p w14:paraId="6DA5F79F" w14:textId="77777777" w:rsidR="00FE430E" w:rsidRPr="00627C58" w:rsidRDefault="00FE430E" w:rsidP="00AB230F">
            <w:pPr>
              <w:pStyle w:val="CETEquation"/>
              <w:rPr>
                <w:rFonts w:cs="Arial"/>
              </w:rPr>
            </w:pPr>
            <w:r w:rsidRPr="00627C58">
              <w:rPr>
                <w:rFonts w:cs="Arial"/>
              </w:rPr>
              <w:t>(1)</w:t>
            </w:r>
          </w:p>
        </w:tc>
      </w:tr>
    </w:tbl>
    <w:p w14:paraId="3CC3F2DE" w14:textId="3809FEF2" w:rsidR="004E24A7" w:rsidRPr="0078686C" w:rsidRDefault="00C172CE" w:rsidP="0078686C">
      <w:pPr>
        <w:pStyle w:val="CETBodytext"/>
        <w:rPr>
          <w:lang w:val="en-GB"/>
        </w:rPr>
      </w:pPr>
      <w:r w:rsidRPr="0078686C">
        <w:rPr>
          <w:lang w:val="en-GB"/>
        </w:rPr>
        <w:t xml:space="preserve">VDS model requires as input the </w:t>
      </w:r>
      <w:r w:rsidRPr="00627C58">
        <w:rPr>
          <w:rFonts w:cs="Arial"/>
          <w:lang w:val="en-GB"/>
        </w:rPr>
        <w:t>“</w:t>
      </w:r>
      <w:r w:rsidRPr="0078686C">
        <w:rPr>
          <w:lang w:val="en-GB"/>
        </w:rPr>
        <w:t>object surface or largest fire compartment</w:t>
      </w:r>
      <w:r w:rsidRPr="00627C58">
        <w:rPr>
          <w:rFonts w:cs="Arial"/>
          <w:lang w:val="en-GB"/>
        </w:rPr>
        <w:t>”.</w:t>
      </w:r>
      <w:r w:rsidRPr="0078686C">
        <w:rPr>
          <w:lang w:val="en-GB"/>
        </w:rPr>
        <w:t xml:space="preserve"> Due to complexity of a process area, the calculations are made considering </w:t>
      </w:r>
      <w:r w:rsidRPr="00627C58">
        <w:rPr>
          <w:rFonts w:cs="Arial"/>
          <w:lang w:val="en-GB"/>
        </w:rPr>
        <w:t xml:space="preserve">as </w:t>
      </w:r>
      <w:r w:rsidRPr="0078686C">
        <w:rPr>
          <w:lang w:val="en-GB"/>
        </w:rPr>
        <w:t>parameter A two different values.</w:t>
      </w:r>
      <w:r w:rsidR="00401315" w:rsidRPr="0078686C">
        <w:rPr>
          <w:lang w:val="en-GB"/>
        </w:rPr>
        <w:t xml:space="preserve"> </w:t>
      </w:r>
      <w:r w:rsidR="00C41A59" w:rsidRPr="0078686C">
        <w:rPr>
          <w:lang w:val="en-GB"/>
        </w:rPr>
        <w:t>T</w:t>
      </w:r>
      <w:r w:rsidR="004E24A7" w:rsidRPr="0078686C">
        <w:rPr>
          <w:lang w:val="en-GB"/>
        </w:rPr>
        <w:t xml:space="preserve">he results of VDS model are reported in </w:t>
      </w:r>
      <w:r w:rsidR="001261C5" w:rsidRPr="00401315">
        <w:rPr>
          <w:rFonts w:cs="Arial"/>
          <w:lang w:val="en-GB"/>
        </w:rPr>
        <w:fldChar w:fldCharType="begin"/>
      </w:r>
      <w:r w:rsidR="001261C5" w:rsidRPr="00401315">
        <w:rPr>
          <w:rFonts w:cs="Arial"/>
          <w:lang w:val="en-GB"/>
        </w:rPr>
        <w:instrText xml:space="preserve"> REF _Ref177392869 \h  \* MERGEFORMAT </w:instrText>
      </w:r>
      <w:r w:rsidR="001261C5" w:rsidRPr="00401315">
        <w:rPr>
          <w:rFonts w:cs="Arial"/>
          <w:lang w:val="en-GB"/>
        </w:rPr>
      </w:r>
      <w:r w:rsidR="001261C5" w:rsidRPr="00401315">
        <w:rPr>
          <w:rFonts w:cs="Arial"/>
          <w:lang w:val="en-GB"/>
        </w:rPr>
        <w:fldChar w:fldCharType="separate"/>
      </w:r>
      <w:r w:rsidR="001261C5" w:rsidRPr="00401315">
        <w:t xml:space="preserve">Table </w:t>
      </w:r>
      <w:r w:rsidR="001261C5" w:rsidRPr="00401315">
        <w:rPr>
          <w:noProof/>
        </w:rPr>
        <w:t>1</w:t>
      </w:r>
      <w:r w:rsidR="001261C5" w:rsidRPr="00401315">
        <w:rPr>
          <w:rFonts w:cs="Arial"/>
          <w:lang w:val="en-GB"/>
        </w:rPr>
        <w:fldChar w:fldCharType="end"/>
      </w:r>
      <w:r w:rsidR="004E24A7" w:rsidRPr="00401315">
        <w:rPr>
          <w:rFonts w:cs="Arial"/>
          <w:lang w:val="en-GB"/>
        </w:rPr>
        <w:t>:</w:t>
      </w:r>
    </w:p>
    <w:p w14:paraId="54A796F6" w14:textId="146F9376" w:rsidR="00616AC3" w:rsidRDefault="00616AC3" w:rsidP="0078686C">
      <w:pPr>
        <w:pStyle w:val="CETTabletitle"/>
      </w:pPr>
      <w:bookmarkStart w:id="1" w:name="_Ref177392869"/>
      <w:r>
        <w:t xml:space="preserve">Table </w:t>
      </w:r>
      <w:r>
        <w:fldChar w:fldCharType="begin"/>
      </w:r>
      <w:r>
        <w:instrText xml:space="preserve"> SEQ Table \* ARABIC </w:instrText>
      </w:r>
      <w:r>
        <w:fldChar w:fldCharType="separate"/>
      </w:r>
      <w:r w:rsidR="008B16E4">
        <w:rPr>
          <w:noProof/>
        </w:rPr>
        <w:t>1</w:t>
      </w:r>
      <w:r>
        <w:fldChar w:fldCharType="end"/>
      </w:r>
      <w:bookmarkEnd w:id="1"/>
      <w:r w:rsidRPr="00B57B36">
        <w:t xml:space="preserve">: </w:t>
      </w:r>
      <w:r>
        <w:t>VDS Model applied to curbed area surface and equipment surface</w:t>
      </w:r>
    </w:p>
    <w:tbl>
      <w:tblPr>
        <w:tblW w:w="82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8"/>
        <w:gridCol w:w="931"/>
        <w:gridCol w:w="930"/>
        <w:gridCol w:w="744"/>
        <w:gridCol w:w="837"/>
        <w:gridCol w:w="930"/>
        <w:gridCol w:w="651"/>
        <w:gridCol w:w="1209"/>
      </w:tblGrid>
      <w:tr w:rsidR="00797699" w:rsidRPr="00B57B36" w14:paraId="6ABB08F0" w14:textId="7B3B36A2" w:rsidTr="00616AC3">
        <w:tc>
          <w:tcPr>
            <w:tcW w:w="2048" w:type="dxa"/>
            <w:tcBorders>
              <w:top w:val="single" w:sz="12" w:space="0" w:color="008000"/>
              <w:bottom w:val="single" w:sz="6" w:space="0" w:color="008000"/>
            </w:tcBorders>
            <w:shd w:val="clear" w:color="auto" w:fill="FFFFFF"/>
          </w:tcPr>
          <w:p w14:paraId="4656500A" w14:textId="51C5D989" w:rsidR="00A54554" w:rsidRPr="00B57B36" w:rsidRDefault="00A54554" w:rsidP="00647437">
            <w:pPr>
              <w:pStyle w:val="CETBodytext"/>
              <w:jc w:val="left"/>
              <w:rPr>
                <w:lang w:val="en-GB"/>
              </w:rPr>
            </w:pPr>
            <w:r w:rsidRPr="00DA4954">
              <w:rPr>
                <w:lang w:val="en-GB"/>
              </w:rPr>
              <w:t xml:space="preserve">Area </w:t>
            </w:r>
          </w:p>
        </w:tc>
        <w:tc>
          <w:tcPr>
            <w:tcW w:w="931" w:type="dxa"/>
            <w:tcBorders>
              <w:top w:val="single" w:sz="12" w:space="0" w:color="008000"/>
              <w:bottom w:val="single" w:sz="6" w:space="0" w:color="008000"/>
            </w:tcBorders>
            <w:shd w:val="clear" w:color="auto" w:fill="FFFFFF"/>
          </w:tcPr>
          <w:p w14:paraId="306FC811" w14:textId="1153D898" w:rsidR="00797699" w:rsidRDefault="00A54554" w:rsidP="008F726D">
            <w:pPr>
              <w:pStyle w:val="CETBodytext"/>
              <w:jc w:val="center"/>
              <w:rPr>
                <w:lang w:val="en-GB"/>
              </w:rPr>
            </w:pPr>
            <w:r>
              <w:rPr>
                <w:lang w:val="en-GB"/>
              </w:rPr>
              <w:t>A</w:t>
            </w:r>
          </w:p>
          <w:p w14:paraId="78495AC8" w14:textId="15AC2760" w:rsidR="00A54554" w:rsidRPr="00B57B36" w:rsidRDefault="00157907" w:rsidP="008F726D">
            <w:pPr>
              <w:pStyle w:val="CETBodytext"/>
              <w:jc w:val="center"/>
              <w:rPr>
                <w:lang w:val="en-GB"/>
              </w:rPr>
            </w:pPr>
            <w:r>
              <w:rPr>
                <w:lang w:val="en-GB"/>
              </w:rPr>
              <w:t>(</w:t>
            </w:r>
            <w:r w:rsidR="00A54554">
              <w:rPr>
                <w:lang w:val="en-GB"/>
              </w:rPr>
              <w:t>m</w:t>
            </w:r>
            <w:r w:rsidR="00A54554" w:rsidRPr="009B053B">
              <w:rPr>
                <w:vertAlign w:val="superscript"/>
                <w:lang w:val="en-GB"/>
              </w:rPr>
              <w:t>2</w:t>
            </w:r>
            <w:r w:rsidR="00FB7412">
              <w:rPr>
                <w:lang w:val="en-GB"/>
              </w:rPr>
              <w:t>)</w:t>
            </w:r>
          </w:p>
        </w:tc>
        <w:tc>
          <w:tcPr>
            <w:tcW w:w="930" w:type="dxa"/>
            <w:tcBorders>
              <w:top w:val="single" w:sz="12" w:space="0" w:color="008000"/>
              <w:bottom w:val="single" w:sz="6" w:space="0" w:color="008000"/>
            </w:tcBorders>
            <w:shd w:val="clear" w:color="auto" w:fill="FFFFFF"/>
          </w:tcPr>
          <w:p w14:paraId="37DC3B97" w14:textId="58A8F431" w:rsidR="00797699" w:rsidRDefault="00A54554" w:rsidP="008F726D">
            <w:pPr>
              <w:pStyle w:val="CETBodytext"/>
              <w:jc w:val="center"/>
              <w:rPr>
                <w:lang w:val="en-GB"/>
              </w:rPr>
            </w:pPr>
            <w:r>
              <w:rPr>
                <w:lang w:val="en-GB"/>
              </w:rPr>
              <w:t>SWL</w:t>
            </w:r>
          </w:p>
          <w:p w14:paraId="312CB1FA" w14:textId="324FC728" w:rsidR="00A54554" w:rsidRPr="00B57B36" w:rsidRDefault="00157907" w:rsidP="008F726D">
            <w:pPr>
              <w:pStyle w:val="CETBodytext"/>
              <w:jc w:val="center"/>
              <w:rPr>
                <w:lang w:val="en-GB"/>
              </w:rPr>
            </w:pPr>
            <w:r>
              <w:rPr>
                <w:lang w:val="en-GB"/>
              </w:rPr>
              <w:t>(</w:t>
            </w:r>
            <w:r w:rsidR="00A54554">
              <w:rPr>
                <w:lang w:val="en-GB"/>
              </w:rPr>
              <w:t>m</w:t>
            </w:r>
            <w:r w:rsidR="00A54554" w:rsidRPr="00B51A4A">
              <w:rPr>
                <w:vertAlign w:val="superscript"/>
                <w:lang w:val="en-GB"/>
              </w:rPr>
              <w:t>2</w:t>
            </w:r>
            <w:r w:rsidR="00FB7412">
              <w:rPr>
                <w:lang w:val="en-GB"/>
              </w:rPr>
              <w:t>)</w:t>
            </w:r>
          </w:p>
        </w:tc>
        <w:tc>
          <w:tcPr>
            <w:tcW w:w="744" w:type="dxa"/>
            <w:tcBorders>
              <w:top w:val="single" w:sz="12" w:space="0" w:color="008000"/>
              <w:bottom w:val="single" w:sz="6" w:space="0" w:color="008000"/>
            </w:tcBorders>
            <w:shd w:val="clear" w:color="auto" w:fill="FFFFFF"/>
          </w:tcPr>
          <w:p w14:paraId="1AB49F76" w14:textId="039D389E" w:rsidR="00A54554" w:rsidRPr="00B57B36" w:rsidRDefault="00A54554" w:rsidP="008F726D">
            <w:pPr>
              <w:pStyle w:val="CETBodytext"/>
              <w:ind w:right="-1"/>
              <w:jc w:val="center"/>
              <w:rPr>
                <w:rFonts w:cs="Arial"/>
                <w:szCs w:val="18"/>
                <w:lang w:val="en-GB"/>
              </w:rPr>
            </w:pPr>
            <w:r>
              <w:rPr>
                <w:rFonts w:cs="Arial"/>
                <w:szCs w:val="18"/>
                <w:lang w:val="en-GB"/>
              </w:rPr>
              <w:t>BAF</w:t>
            </w:r>
          </w:p>
        </w:tc>
        <w:tc>
          <w:tcPr>
            <w:tcW w:w="837" w:type="dxa"/>
            <w:tcBorders>
              <w:top w:val="single" w:sz="12" w:space="0" w:color="008000"/>
              <w:bottom w:val="single" w:sz="6" w:space="0" w:color="008000"/>
            </w:tcBorders>
            <w:shd w:val="clear" w:color="auto" w:fill="FFFFFF"/>
          </w:tcPr>
          <w:p w14:paraId="1E562AF7" w14:textId="6D0ED83F" w:rsidR="00A54554" w:rsidRPr="00B57B36" w:rsidRDefault="00A54554" w:rsidP="008F726D">
            <w:pPr>
              <w:pStyle w:val="CETBodytext"/>
              <w:ind w:right="-1"/>
              <w:jc w:val="center"/>
              <w:rPr>
                <w:rFonts w:cs="Arial"/>
                <w:szCs w:val="18"/>
                <w:lang w:val="en-GB"/>
              </w:rPr>
            </w:pPr>
            <w:r>
              <w:rPr>
                <w:rFonts w:cs="Arial"/>
                <w:szCs w:val="18"/>
                <w:lang w:val="en-GB"/>
              </w:rPr>
              <w:t>BBF</w:t>
            </w:r>
          </w:p>
        </w:tc>
        <w:tc>
          <w:tcPr>
            <w:tcW w:w="930" w:type="dxa"/>
            <w:tcBorders>
              <w:top w:val="single" w:sz="12" w:space="0" w:color="008000"/>
              <w:bottom w:val="single" w:sz="6" w:space="0" w:color="008000"/>
            </w:tcBorders>
            <w:shd w:val="clear" w:color="auto" w:fill="FFFFFF"/>
          </w:tcPr>
          <w:p w14:paraId="7C4FE27D" w14:textId="77777777" w:rsidR="00797699" w:rsidRDefault="00A54554" w:rsidP="008F726D">
            <w:pPr>
              <w:pStyle w:val="CETBodytext"/>
              <w:ind w:right="-1"/>
              <w:jc w:val="center"/>
              <w:rPr>
                <w:rFonts w:cs="Arial"/>
                <w:szCs w:val="18"/>
                <w:lang w:val="en-GB"/>
              </w:rPr>
            </w:pPr>
            <w:r>
              <w:rPr>
                <w:rFonts w:cs="Arial"/>
                <w:szCs w:val="18"/>
                <w:lang w:val="en-GB"/>
              </w:rPr>
              <w:t>M</w:t>
            </w:r>
          </w:p>
          <w:p w14:paraId="74EC1E81" w14:textId="1C0D8B23" w:rsidR="00A54554" w:rsidRDefault="00157907" w:rsidP="008F726D">
            <w:pPr>
              <w:pStyle w:val="CETBodytext"/>
              <w:ind w:right="-1"/>
              <w:jc w:val="center"/>
              <w:rPr>
                <w:rFonts w:cs="Arial"/>
                <w:szCs w:val="18"/>
                <w:lang w:val="en-GB"/>
              </w:rPr>
            </w:pPr>
            <w:r>
              <w:rPr>
                <w:rFonts w:cs="Arial"/>
                <w:szCs w:val="18"/>
                <w:lang w:val="en-GB"/>
              </w:rPr>
              <w:t>(</w:t>
            </w:r>
            <w:r w:rsidR="00A54554">
              <w:rPr>
                <w:rFonts w:cs="Arial"/>
                <w:szCs w:val="18"/>
                <w:lang w:val="en-GB"/>
              </w:rPr>
              <w:t>m</w:t>
            </w:r>
            <w:r w:rsidR="00A54554" w:rsidRPr="00BB3227">
              <w:rPr>
                <w:rFonts w:cs="Arial"/>
                <w:szCs w:val="18"/>
                <w:vertAlign w:val="superscript"/>
                <w:lang w:val="en-GB"/>
              </w:rPr>
              <w:t>3</w:t>
            </w:r>
            <w:r w:rsidR="00FB7412">
              <w:rPr>
                <w:rFonts w:cs="Arial"/>
                <w:szCs w:val="18"/>
                <w:lang w:val="en-GB"/>
              </w:rPr>
              <w:t>)</w:t>
            </w:r>
          </w:p>
        </w:tc>
        <w:tc>
          <w:tcPr>
            <w:tcW w:w="651" w:type="dxa"/>
            <w:tcBorders>
              <w:top w:val="single" w:sz="12" w:space="0" w:color="008000"/>
              <w:bottom w:val="single" w:sz="6" w:space="0" w:color="008000"/>
            </w:tcBorders>
            <w:shd w:val="clear" w:color="auto" w:fill="FFFFFF"/>
          </w:tcPr>
          <w:p w14:paraId="215B3C7E" w14:textId="64ACE5BF" w:rsidR="00A54554" w:rsidRDefault="00A54554" w:rsidP="008F726D">
            <w:pPr>
              <w:pStyle w:val="CETBodytext"/>
              <w:ind w:right="-1"/>
              <w:jc w:val="center"/>
              <w:rPr>
                <w:rFonts w:cs="Arial"/>
                <w:szCs w:val="18"/>
                <w:lang w:val="en-GB"/>
              </w:rPr>
            </w:pPr>
            <w:r>
              <w:rPr>
                <w:rFonts w:cs="Arial"/>
                <w:szCs w:val="18"/>
                <w:lang w:val="en-GB"/>
              </w:rPr>
              <w:t>BSF</w:t>
            </w:r>
          </w:p>
        </w:tc>
        <w:tc>
          <w:tcPr>
            <w:tcW w:w="1209" w:type="dxa"/>
            <w:tcBorders>
              <w:top w:val="single" w:sz="12" w:space="0" w:color="008000"/>
              <w:bottom w:val="single" w:sz="6" w:space="0" w:color="008000"/>
            </w:tcBorders>
            <w:shd w:val="clear" w:color="auto" w:fill="FFFFFF"/>
          </w:tcPr>
          <w:p w14:paraId="29ABCD3A" w14:textId="555EBB21" w:rsidR="00A54554" w:rsidRPr="00514983" w:rsidRDefault="005F43E7" w:rsidP="008F726D">
            <w:pPr>
              <w:pStyle w:val="CETBodytext"/>
              <w:ind w:right="-1"/>
              <w:jc w:val="center"/>
              <w:rPr>
                <w:rFonts w:cs="Arial"/>
                <w:szCs w:val="18"/>
                <w:lang w:val="en-GB"/>
              </w:rPr>
            </w:pPr>
            <w:r w:rsidRPr="00514983">
              <w:rPr>
                <w:rFonts w:cs="Arial"/>
                <w:szCs w:val="18"/>
                <w:lang w:val="en-GB"/>
              </w:rPr>
              <w:t xml:space="preserve">FW Retention volume </w:t>
            </w:r>
            <w:r w:rsidR="00157907">
              <w:rPr>
                <w:rFonts w:cs="Arial"/>
                <w:szCs w:val="18"/>
                <w:lang w:val="en-GB"/>
              </w:rPr>
              <w:t>(</w:t>
            </w:r>
            <w:r w:rsidRPr="00514983">
              <w:rPr>
                <w:rFonts w:cs="Arial"/>
                <w:szCs w:val="18"/>
                <w:lang w:val="en-GB"/>
              </w:rPr>
              <w:t>m</w:t>
            </w:r>
            <w:r w:rsidRPr="00514983">
              <w:rPr>
                <w:rFonts w:cs="Arial"/>
                <w:szCs w:val="18"/>
                <w:vertAlign w:val="superscript"/>
                <w:lang w:val="en-GB"/>
              </w:rPr>
              <w:t>3</w:t>
            </w:r>
            <w:r w:rsidR="00FB7412">
              <w:rPr>
                <w:rFonts w:cs="Arial"/>
                <w:szCs w:val="18"/>
                <w:lang w:val="en-GB"/>
              </w:rPr>
              <w:t>)</w:t>
            </w:r>
          </w:p>
        </w:tc>
      </w:tr>
      <w:tr w:rsidR="00797699" w:rsidRPr="00B57B36" w14:paraId="2E1F0EDC" w14:textId="39806E49" w:rsidTr="00616AC3">
        <w:trPr>
          <w:trHeight w:val="651"/>
        </w:trPr>
        <w:tc>
          <w:tcPr>
            <w:tcW w:w="2048" w:type="dxa"/>
            <w:shd w:val="clear" w:color="auto" w:fill="FFFFFF"/>
            <w:vAlign w:val="center"/>
          </w:tcPr>
          <w:p w14:paraId="764886D5" w14:textId="77777777" w:rsidR="000C41F3" w:rsidRDefault="00A54554" w:rsidP="00647437">
            <w:pPr>
              <w:pStyle w:val="CETBodytext"/>
              <w:jc w:val="left"/>
              <w:rPr>
                <w:rFonts w:cs="Arial"/>
                <w:szCs w:val="18"/>
              </w:rPr>
            </w:pPr>
            <w:r w:rsidRPr="00CC3CEA">
              <w:rPr>
                <w:rFonts w:cs="Arial"/>
                <w:szCs w:val="18"/>
              </w:rPr>
              <w:t xml:space="preserve">FA-7 curbed area </w:t>
            </w:r>
          </w:p>
          <w:p w14:paraId="2452DCC5" w14:textId="486C1AAF" w:rsidR="00A54554" w:rsidRPr="00CC3CEA" w:rsidRDefault="00A54554" w:rsidP="00647437">
            <w:pPr>
              <w:pStyle w:val="CETBodytext"/>
              <w:jc w:val="left"/>
              <w:rPr>
                <w:szCs w:val="18"/>
                <w:lang w:val="en-GB"/>
              </w:rPr>
            </w:pPr>
            <w:r w:rsidRPr="00CC3CEA">
              <w:rPr>
                <w:rFonts w:cs="Arial"/>
                <w:szCs w:val="18"/>
              </w:rPr>
              <w:t>surface</w:t>
            </w:r>
          </w:p>
        </w:tc>
        <w:tc>
          <w:tcPr>
            <w:tcW w:w="931" w:type="dxa"/>
            <w:shd w:val="clear" w:color="auto" w:fill="FFFFFF"/>
            <w:vAlign w:val="center"/>
          </w:tcPr>
          <w:p w14:paraId="19EC3587" w14:textId="57F6CA72" w:rsidR="00A54554" w:rsidRPr="00CC3CEA" w:rsidRDefault="00A54554" w:rsidP="008F726D">
            <w:pPr>
              <w:pStyle w:val="CETBodytext"/>
              <w:jc w:val="center"/>
              <w:rPr>
                <w:szCs w:val="18"/>
                <w:lang w:val="en-GB"/>
              </w:rPr>
            </w:pPr>
            <w:r w:rsidRPr="00CC3CEA">
              <w:rPr>
                <w:rFonts w:cs="Arial"/>
                <w:szCs w:val="18"/>
              </w:rPr>
              <w:t>7150</w:t>
            </w:r>
          </w:p>
        </w:tc>
        <w:tc>
          <w:tcPr>
            <w:tcW w:w="930" w:type="dxa"/>
            <w:shd w:val="clear" w:color="auto" w:fill="FFFFFF"/>
            <w:vAlign w:val="center"/>
          </w:tcPr>
          <w:p w14:paraId="15CE4C38" w14:textId="31C14D22" w:rsidR="00A54554" w:rsidRPr="00CC3CEA" w:rsidRDefault="00A54554" w:rsidP="008F726D">
            <w:pPr>
              <w:pStyle w:val="CETBodytext"/>
              <w:jc w:val="center"/>
              <w:rPr>
                <w:szCs w:val="18"/>
                <w:lang w:val="en-GB"/>
              </w:rPr>
            </w:pPr>
            <w:r w:rsidRPr="00CC3CEA">
              <w:rPr>
                <w:rFonts w:cs="Arial"/>
                <w:szCs w:val="18"/>
              </w:rPr>
              <w:t>0.24</w:t>
            </w:r>
          </w:p>
        </w:tc>
        <w:tc>
          <w:tcPr>
            <w:tcW w:w="744" w:type="dxa"/>
            <w:shd w:val="clear" w:color="auto" w:fill="FFFFFF"/>
            <w:vAlign w:val="center"/>
          </w:tcPr>
          <w:p w14:paraId="264EC175" w14:textId="205344AD" w:rsidR="00A54554" w:rsidRPr="00CC3CEA" w:rsidRDefault="00A54554" w:rsidP="008F726D">
            <w:pPr>
              <w:pStyle w:val="CETBodytext"/>
              <w:ind w:right="-1"/>
              <w:jc w:val="center"/>
              <w:rPr>
                <w:rFonts w:cs="Arial"/>
                <w:szCs w:val="18"/>
                <w:lang w:val="en-GB"/>
              </w:rPr>
            </w:pPr>
            <w:r w:rsidRPr="00CC3CEA">
              <w:rPr>
                <w:rFonts w:cs="Arial"/>
                <w:szCs w:val="18"/>
              </w:rPr>
              <w:t>0.75</w:t>
            </w:r>
          </w:p>
        </w:tc>
        <w:tc>
          <w:tcPr>
            <w:tcW w:w="837" w:type="dxa"/>
            <w:shd w:val="clear" w:color="auto" w:fill="FFFFFF"/>
            <w:vAlign w:val="center"/>
          </w:tcPr>
          <w:p w14:paraId="3660796D" w14:textId="357E633C" w:rsidR="00A54554" w:rsidRPr="00CC3CEA" w:rsidRDefault="00A54554" w:rsidP="008F726D">
            <w:pPr>
              <w:pStyle w:val="CETBodytext"/>
              <w:ind w:right="-1"/>
              <w:jc w:val="center"/>
              <w:rPr>
                <w:rFonts w:cs="Arial"/>
                <w:szCs w:val="18"/>
                <w:lang w:val="en-GB"/>
              </w:rPr>
            </w:pPr>
            <w:r w:rsidRPr="00CC3CEA">
              <w:rPr>
                <w:rFonts w:cs="Arial"/>
                <w:szCs w:val="18"/>
              </w:rPr>
              <w:t>3.64</w:t>
            </w:r>
          </w:p>
        </w:tc>
        <w:tc>
          <w:tcPr>
            <w:tcW w:w="930" w:type="dxa"/>
            <w:shd w:val="clear" w:color="auto" w:fill="FFFFFF"/>
            <w:vAlign w:val="center"/>
          </w:tcPr>
          <w:p w14:paraId="0AC5EADB" w14:textId="4CB1CC16" w:rsidR="00A54554" w:rsidRPr="00CC3CEA" w:rsidRDefault="00A54554" w:rsidP="008F726D">
            <w:pPr>
              <w:pStyle w:val="CETBodytext"/>
              <w:ind w:right="-1"/>
              <w:jc w:val="center"/>
              <w:rPr>
                <w:rFonts w:cs="Arial"/>
                <w:szCs w:val="18"/>
                <w:lang w:val="en-GB"/>
              </w:rPr>
            </w:pPr>
            <w:r w:rsidRPr="00CC3CEA">
              <w:rPr>
                <w:rFonts w:cs="Arial"/>
                <w:szCs w:val="18"/>
              </w:rPr>
              <w:t>3722</w:t>
            </w:r>
          </w:p>
        </w:tc>
        <w:tc>
          <w:tcPr>
            <w:tcW w:w="651" w:type="dxa"/>
            <w:shd w:val="clear" w:color="auto" w:fill="FFFFFF"/>
            <w:vAlign w:val="center"/>
          </w:tcPr>
          <w:p w14:paraId="65CF81A3" w14:textId="77777777" w:rsidR="00A54554" w:rsidRPr="00CC3CEA" w:rsidRDefault="00A54554" w:rsidP="008F726D">
            <w:pPr>
              <w:pStyle w:val="CETBodytext"/>
              <w:ind w:right="-1"/>
              <w:jc w:val="center"/>
              <w:rPr>
                <w:rFonts w:cs="Arial"/>
                <w:szCs w:val="18"/>
                <w:lang w:val="en-GB"/>
              </w:rPr>
            </w:pPr>
            <w:r w:rsidRPr="00CC3CEA">
              <w:rPr>
                <w:rFonts w:cs="Arial"/>
                <w:szCs w:val="18"/>
                <w:lang w:val="en-GB"/>
              </w:rPr>
              <w:t>3.64</w:t>
            </w:r>
          </w:p>
        </w:tc>
        <w:tc>
          <w:tcPr>
            <w:tcW w:w="1209" w:type="dxa"/>
            <w:shd w:val="clear" w:color="auto" w:fill="FFFFFF"/>
            <w:vAlign w:val="center"/>
          </w:tcPr>
          <w:p w14:paraId="0F13B9FE" w14:textId="58BED2F4" w:rsidR="00A54554" w:rsidRPr="00514983" w:rsidRDefault="00797699" w:rsidP="008F726D">
            <w:pPr>
              <w:pStyle w:val="CETBodytext"/>
              <w:ind w:right="-1"/>
              <w:jc w:val="center"/>
              <w:rPr>
                <w:rFonts w:cs="Arial"/>
                <w:szCs w:val="18"/>
                <w:lang w:val="en-GB"/>
              </w:rPr>
            </w:pPr>
            <w:r w:rsidRPr="00514983">
              <w:rPr>
                <w:rFonts w:cs="Arial"/>
                <w:szCs w:val="18"/>
                <w:lang w:val="en-GB"/>
              </w:rPr>
              <w:t>2310</w:t>
            </w:r>
          </w:p>
        </w:tc>
      </w:tr>
      <w:tr w:rsidR="00797699" w:rsidRPr="00B57B36" w14:paraId="349CBAE7" w14:textId="53553C2A" w:rsidTr="00616AC3">
        <w:tc>
          <w:tcPr>
            <w:tcW w:w="2048" w:type="dxa"/>
            <w:shd w:val="clear" w:color="auto" w:fill="FFFFFF"/>
          </w:tcPr>
          <w:p w14:paraId="4E2615E2" w14:textId="77777777" w:rsidR="00A54554" w:rsidRDefault="00A54554" w:rsidP="00647437">
            <w:pPr>
              <w:pStyle w:val="CETBodytext"/>
              <w:ind w:right="-1"/>
              <w:jc w:val="left"/>
              <w:rPr>
                <w:rFonts w:cs="Arial"/>
                <w:szCs w:val="18"/>
              </w:rPr>
            </w:pPr>
            <w:r w:rsidRPr="00CC3CEA">
              <w:rPr>
                <w:rFonts w:cs="Arial"/>
                <w:szCs w:val="18"/>
              </w:rPr>
              <w:t xml:space="preserve">Equipment </w:t>
            </w:r>
          </w:p>
          <w:p w14:paraId="7889D39A" w14:textId="6BB65D4C" w:rsidR="00A54554" w:rsidRPr="00CC3CEA" w:rsidRDefault="00A54554" w:rsidP="00647437">
            <w:pPr>
              <w:pStyle w:val="CETBodytext"/>
              <w:ind w:right="-1"/>
              <w:jc w:val="left"/>
              <w:rPr>
                <w:rFonts w:cs="Arial"/>
                <w:szCs w:val="18"/>
                <w:lang w:val="en-GB"/>
              </w:rPr>
            </w:pPr>
            <w:r w:rsidRPr="00CC3CEA">
              <w:rPr>
                <w:rFonts w:cs="Arial"/>
                <w:szCs w:val="18"/>
              </w:rPr>
              <w:t>surface in FA-7</w:t>
            </w:r>
          </w:p>
        </w:tc>
        <w:tc>
          <w:tcPr>
            <w:tcW w:w="931" w:type="dxa"/>
            <w:shd w:val="clear" w:color="auto" w:fill="FFFFFF"/>
            <w:vAlign w:val="center"/>
          </w:tcPr>
          <w:p w14:paraId="5A87B84D" w14:textId="6D45F72F" w:rsidR="00A54554" w:rsidRPr="00CC3CEA" w:rsidRDefault="00A54554" w:rsidP="008F726D">
            <w:pPr>
              <w:pStyle w:val="CETBodytext"/>
              <w:ind w:right="-1"/>
              <w:jc w:val="center"/>
              <w:rPr>
                <w:rFonts w:cs="Arial"/>
                <w:szCs w:val="18"/>
                <w:lang w:val="en-GB"/>
              </w:rPr>
            </w:pPr>
            <w:r w:rsidRPr="00CC3CEA">
              <w:rPr>
                <w:rFonts w:cs="Arial"/>
                <w:szCs w:val="18"/>
                <w:lang w:val="en-GB"/>
              </w:rPr>
              <w:t>4355</w:t>
            </w:r>
          </w:p>
        </w:tc>
        <w:tc>
          <w:tcPr>
            <w:tcW w:w="930" w:type="dxa"/>
            <w:shd w:val="clear" w:color="auto" w:fill="FFFFFF"/>
            <w:vAlign w:val="center"/>
          </w:tcPr>
          <w:p w14:paraId="23B63778" w14:textId="5CE10B03" w:rsidR="00A54554" w:rsidRPr="00CC3CEA" w:rsidRDefault="00A54554" w:rsidP="008F726D">
            <w:pPr>
              <w:pStyle w:val="CETBodytext"/>
              <w:ind w:right="-1"/>
              <w:jc w:val="center"/>
              <w:rPr>
                <w:rFonts w:cs="Arial"/>
                <w:szCs w:val="18"/>
                <w:lang w:val="en-GB"/>
              </w:rPr>
            </w:pPr>
            <w:r>
              <w:rPr>
                <w:rFonts w:cs="Arial"/>
                <w:szCs w:val="18"/>
                <w:lang w:val="en-GB"/>
              </w:rPr>
              <w:t>0.24</w:t>
            </w:r>
          </w:p>
        </w:tc>
        <w:tc>
          <w:tcPr>
            <w:tcW w:w="744" w:type="dxa"/>
            <w:shd w:val="clear" w:color="auto" w:fill="FFFFFF"/>
            <w:vAlign w:val="center"/>
          </w:tcPr>
          <w:p w14:paraId="207AB3BD" w14:textId="5DF64BBA" w:rsidR="00A54554" w:rsidRPr="00CC3CEA" w:rsidRDefault="00A54554" w:rsidP="008F726D">
            <w:pPr>
              <w:pStyle w:val="CETBodytext"/>
              <w:ind w:right="-1"/>
              <w:jc w:val="center"/>
              <w:rPr>
                <w:rFonts w:cs="Arial"/>
                <w:szCs w:val="18"/>
                <w:lang w:val="en-GB"/>
              </w:rPr>
            </w:pPr>
            <w:r>
              <w:rPr>
                <w:rFonts w:cs="Arial"/>
                <w:szCs w:val="18"/>
                <w:lang w:val="en-GB"/>
              </w:rPr>
              <w:t>0.90</w:t>
            </w:r>
          </w:p>
        </w:tc>
        <w:tc>
          <w:tcPr>
            <w:tcW w:w="837" w:type="dxa"/>
            <w:shd w:val="clear" w:color="auto" w:fill="FFFFFF"/>
            <w:vAlign w:val="center"/>
          </w:tcPr>
          <w:p w14:paraId="1E4E1588" w14:textId="7CC41329" w:rsidR="00A54554" w:rsidRPr="00CC3CEA" w:rsidRDefault="00A54554" w:rsidP="008F726D">
            <w:pPr>
              <w:pStyle w:val="CETBodytext"/>
              <w:ind w:right="-1"/>
              <w:jc w:val="center"/>
              <w:rPr>
                <w:rFonts w:cs="Arial"/>
                <w:szCs w:val="18"/>
                <w:lang w:val="en-GB"/>
              </w:rPr>
            </w:pPr>
            <w:r>
              <w:rPr>
                <w:rFonts w:cs="Arial"/>
                <w:szCs w:val="18"/>
                <w:lang w:val="en-GB"/>
              </w:rPr>
              <w:t>3.64</w:t>
            </w:r>
          </w:p>
        </w:tc>
        <w:tc>
          <w:tcPr>
            <w:tcW w:w="930" w:type="dxa"/>
            <w:shd w:val="clear" w:color="auto" w:fill="FFFFFF"/>
            <w:vAlign w:val="center"/>
          </w:tcPr>
          <w:p w14:paraId="17B965AF" w14:textId="637FEBCB" w:rsidR="00A54554" w:rsidRPr="00CC3CEA" w:rsidRDefault="00A54554" w:rsidP="008F726D">
            <w:pPr>
              <w:pStyle w:val="CETBodytext"/>
              <w:ind w:right="-1"/>
              <w:jc w:val="center"/>
              <w:rPr>
                <w:rFonts w:cs="Arial"/>
                <w:szCs w:val="18"/>
                <w:lang w:val="en-GB"/>
              </w:rPr>
            </w:pPr>
            <w:r>
              <w:rPr>
                <w:rFonts w:cs="Arial"/>
                <w:szCs w:val="18"/>
                <w:lang w:val="en-GB"/>
              </w:rPr>
              <w:t>3722</w:t>
            </w:r>
          </w:p>
        </w:tc>
        <w:tc>
          <w:tcPr>
            <w:tcW w:w="651" w:type="dxa"/>
            <w:shd w:val="clear" w:color="auto" w:fill="FFFFFF"/>
            <w:vAlign w:val="center"/>
          </w:tcPr>
          <w:p w14:paraId="3E7EA7A4" w14:textId="0ED6F939" w:rsidR="00A54554" w:rsidRPr="00CC3CEA" w:rsidRDefault="00A54554" w:rsidP="008F726D">
            <w:pPr>
              <w:pStyle w:val="CETBodytext"/>
              <w:ind w:right="-1"/>
              <w:jc w:val="center"/>
              <w:rPr>
                <w:rFonts w:cs="Arial"/>
                <w:szCs w:val="18"/>
                <w:lang w:val="en-GB"/>
              </w:rPr>
            </w:pPr>
            <w:r>
              <w:rPr>
                <w:rFonts w:cs="Arial"/>
                <w:szCs w:val="18"/>
                <w:lang w:val="en-GB"/>
              </w:rPr>
              <w:t>3.64</w:t>
            </w:r>
          </w:p>
        </w:tc>
        <w:tc>
          <w:tcPr>
            <w:tcW w:w="1209" w:type="dxa"/>
            <w:shd w:val="clear" w:color="auto" w:fill="FFFFFF"/>
            <w:vAlign w:val="center"/>
          </w:tcPr>
          <w:p w14:paraId="07F1F273" w14:textId="1F191392" w:rsidR="00A54554" w:rsidRPr="00514983" w:rsidRDefault="00797699" w:rsidP="008F726D">
            <w:pPr>
              <w:pStyle w:val="CETBodytext"/>
              <w:ind w:right="-1"/>
              <w:jc w:val="center"/>
              <w:rPr>
                <w:rFonts w:cs="Arial"/>
                <w:szCs w:val="18"/>
                <w:lang w:val="en-GB"/>
              </w:rPr>
            </w:pPr>
            <w:r w:rsidRPr="00514983">
              <w:rPr>
                <w:rFonts w:cs="Arial"/>
                <w:szCs w:val="18"/>
                <w:lang w:val="en-GB"/>
              </w:rPr>
              <w:t>1963</w:t>
            </w:r>
          </w:p>
        </w:tc>
      </w:tr>
    </w:tbl>
    <w:p w14:paraId="1DB899A4" w14:textId="77777777" w:rsidR="00CD70F4" w:rsidRPr="00074F96" w:rsidRDefault="00CD70F4" w:rsidP="0078686C">
      <w:pPr>
        <w:pStyle w:val="CETheadingx"/>
      </w:pPr>
      <w:r w:rsidRPr="00074F96">
        <w:t>Advanced JEG Model</w:t>
      </w:r>
    </w:p>
    <w:p w14:paraId="068B43BD" w14:textId="4734C9D3" w:rsidR="00CD70F4" w:rsidRPr="0078686C" w:rsidRDefault="00CD70F4" w:rsidP="0078686C">
      <w:pPr>
        <w:pStyle w:val="CETBodytext"/>
        <w:rPr>
          <w:highlight w:val="yellow"/>
          <w:lang w:val="en-GB"/>
        </w:rPr>
      </w:pPr>
      <w:r w:rsidRPr="0078686C">
        <w:rPr>
          <w:lang w:val="en-GB"/>
        </w:rPr>
        <w:t>This model, proposed by the Joint Expert Group on Water and Industrial Accidents (JEG model) estimates 1 m</w:t>
      </w:r>
      <w:r w:rsidRPr="0078686C">
        <w:rPr>
          <w:vertAlign w:val="superscript"/>
          <w:lang w:val="en-GB"/>
        </w:rPr>
        <w:t>3</w:t>
      </w:r>
      <w:r w:rsidRPr="0078686C">
        <w:rPr>
          <w:lang w:val="en-GB"/>
        </w:rPr>
        <w:t xml:space="preserve"> of the retention basin per square meter of the protected object surface or its biggest fire compartment, following the formula:</w:t>
      </w:r>
    </w:p>
    <w:tbl>
      <w:tblPr>
        <w:tblW w:w="5000" w:type="pct"/>
        <w:tblLook w:val="04A0" w:firstRow="1" w:lastRow="0" w:firstColumn="1" w:lastColumn="0" w:noHBand="0" w:noVBand="1"/>
      </w:tblPr>
      <w:tblGrid>
        <w:gridCol w:w="7960"/>
        <w:gridCol w:w="827"/>
      </w:tblGrid>
      <w:tr w:rsidR="005A4F9F" w:rsidRPr="00627C58" w14:paraId="3F3D3C31" w14:textId="77777777" w:rsidTr="00401315">
        <w:tc>
          <w:tcPr>
            <w:tcW w:w="7501" w:type="dxa"/>
            <w:shd w:val="clear" w:color="auto" w:fill="auto"/>
            <w:vAlign w:val="center"/>
          </w:tcPr>
          <w:p w14:paraId="340B8C89" w14:textId="5D0D2B41" w:rsidR="005A4F9F" w:rsidRPr="00407CBF" w:rsidRDefault="005A4F9F" w:rsidP="00E368CD">
            <w:pPr>
              <w:pStyle w:val="CETEquation"/>
              <w:jc w:val="center"/>
              <w:rPr>
                <w:rFonts w:cs="Arial"/>
              </w:rPr>
            </w:pPr>
            <m:oMathPara>
              <m:oMath>
                <m:r>
                  <w:rPr>
                    <w:rFonts w:ascii="Cambria Math" w:hAnsi="Cambria Math" w:cs="Arial"/>
                  </w:rPr>
                  <m:t>R</m:t>
                </m:r>
                <m:r>
                  <m:rPr>
                    <m:sty m:val="p"/>
                  </m:rPr>
                  <w:rPr>
                    <w:rFonts w:ascii="Cambria Math" w:hAnsi="Cambria Math" w:cs="Arial"/>
                  </w:rPr>
                  <m:t xml:space="preserve"> </m:t>
                </m:r>
                <m:sSup>
                  <m:sSupPr>
                    <m:ctrlPr>
                      <w:rPr>
                        <w:rFonts w:ascii="Cambria Math" w:hAnsi="Cambria Math" w:cs="Arial"/>
                      </w:rPr>
                    </m:ctrlPr>
                  </m:sSupPr>
                  <m:e>
                    <m:r>
                      <w:rPr>
                        <w:rFonts w:ascii="Cambria Math" w:hAnsi="Cambria Math" w:cs="Arial"/>
                      </w:rPr>
                      <m:t>(m</m:t>
                    </m:r>
                  </m:e>
                  <m:sup>
                    <m:r>
                      <w:rPr>
                        <w:rFonts w:ascii="Cambria Math" w:hAnsi="Cambria Math" w:cs="Arial"/>
                      </w:rPr>
                      <m:t>3</m:t>
                    </m:r>
                  </m:sup>
                </m:sSup>
                <m:r>
                  <m:rPr>
                    <m:sty m:val="p"/>
                  </m:rPr>
                  <w:rPr>
                    <w:rFonts w:ascii="Cambria Math" w:hAnsi="Cambria Math" w:cs="Arial"/>
                  </w:rPr>
                  <m:t>)=</m:t>
                </m:r>
                <m:sSub>
                  <m:sSubPr>
                    <m:ctrlPr>
                      <w:rPr>
                        <w:rFonts w:ascii="Cambria Math" w:hAnsi="Cambria Math" w:cs="Arial"/>
                      </w:rPr>
                    </m:ctrlPr>
                  </m:sSubPr>
                  <m:e>
                    <m:r>
                      <w:rPr>
                        <w:rFonts w:ascii="Cambria Math" w:hAnsi="Cambria Math" w:cs="Arial"/>
                      </w:rPr>
                      <m:t>A</m:t>
                    </m:r>
                  </m:e>
                  <m:sub>
                    <m:r>
                      <w:rPr>
                        <w:rFonts w:ascii="Cambria Math" w:hAnsi="Cambria Math" w:cs="Arial"/>
                      </w:rPr>
                      <m:t>f</m:t>
                    </m:r>
                  </m:sub>
                </m:sSub>
                <m:r>
                  <m:rPr>
                    <m:sty m:val="p"/>
                  </m:rPr>
                  <w:rPr>
                    <w:rFonts w:ascii="Cambria Math" w:hAnsi="Cambria Math" w:cs="Arial"/>
                  </w:rPr>
                  <m:t xml:space="preserve"> (</m:t>
                </m:r>
                <m:sSup>
                  <m:sSupPr>
                    <m:ctrlPr>
                      <w:rPr>
                        <w:rFonts w:ascii="Cambria Math" w:hAnsi="Cambria Math" w:cs="Arial"/>
                        <w:lang w:val="en-US"/>
                      </w:rPr>
                    </m:ctrlPr>
                  </m:sSupPr>
                  <m:e>
                    <m:r>
                      <m:rPr>
                        <m:sty m:val="p"/>
                      </m:rPr>
                      <w:rPr>
                        <w:rFonts w:ascii="Cambria Math" w:hAnsi="Cambria Math" w:cs="Arial"/>
                      </w:rPr>
                      <m:t>m</m:t>
                    </m:r>
                  </m:e>
                  <m:sup>
                    <m:r>
                      <m:rPr>
                        <m:sty m:val="p"/>
                      </m:rPr>
                      <w:rPr>
                        <w:rFonts w:ascii="Cambria Math" w:hAnsi="Cambria Math" w:cs="Arial"/>
                      </w:rPr>
                      <m:t>2</m:t>
                    </m:r>
                  </m:sup>
                </m:sSup>
                <m:r>
                  <w:rPr>
                    <w:rFonts w:ascii="Cambria Math" w:hAnsi="Cambria Math" w:cs="Arial"/>
                  </w:rPr>
                  <m:t>)</m:t>
                </m:r>
              </m:oMath>
            </m:oMathPara>
          </w:p>
        </w:tc>
        <w:tc>
          <w:tcPr>
            <w:tcW w:w="779" w:type="dxa"/>
            <w:shd w:val="clear" w:color="auto" w:fill="auto"/>
            <w:vAlign w:val="center"/>
          </w:tcPr>
          <w:p w14:paraId="3A1B2A94" w14:textId="12B3BC26" w:rsidR="005A4F9F" w:rsidRPr="00627C58" w:rsidRDefault="005A4F9F" w:rsidP="00E368CD">
            <w:pPr>
              <w:pStyle w:val="CETEquation"/>
              <w:rPr>
                <w:rFonts w:cs="Arial"/>
              </w:rPr>
            </w:pPr>
            <w:r w:rsidRPr="00627C58">
              <w:rPr>
                <w:rFonts w:cs="Arial"/>
              </w:rPr>
              <w:t>(</w:t>
            </w:r>
            <w:r>
              <w:rPr>
                <w:rFonts w:cs="Arial"/>
              </w:rPr>
              <w:t>2</w:t>
            </w:r>
            <w:r w:rsidRPr="00627C58">
              <w:rPr>
                <w:rFonts w:cs="Arial"/>
              </w:rPr>
              <w:t>)</w:t>
            </w:r>
          </w:p>
        </w:tc>
      </w:tr>
    </w:tbl>
    <w:p w14:paraId="5C2601E8" w14:textId="04E989D8" w:rsidR="002A53EF" w:rsidRPr="0078686C" w:rsidRDefault="002A53EF" w:rsidP="0078686C">
      <w:pPr>
        <w:pStyle w:val="CETBodytext"/>
        <w:rPr>
          <w:lang w:val="en-GB"/>
        </w:rPr>
      </w:pPr>
      <w:r w:rsidRPr="0078686C">
        <w:rPr>
          <w:lang w:val="en-GB"/>
        </w:rPr>
        <w:t xml:space="preserve">The calculated volume can be reduced to </w:t>
      </w:r>
      <w:r w:rsidR="00DC3D75" w:rsidRPr="0078686C">
        <w:rPr>
          <w:lang w:val="en-GB"/>
        </w:rPr>
        <w:t xml:space="preserve">10 </w:t>
      </w:r>
      <w:r w:rsidR="00DC3D75">
        <w:rPr>
          <w:rFonts w:cs="Arial"/>
          <w:lang w:val="en-GB"/>
        </w:rPr>
        <w:t>per cent</w:t>
      </w:r>
      <w:r w:rsidRPr="0078686C">
        <w:rPr>
          <w:lang w:val="en-GB"/>
        </w:rPr>
        <w:t xml:space="preserve"> by providing a constantly operating factory fire service (advanced JEG model) since considers the presence of advanced fire protection strategies (e.g. deluge systems).</w:t>
      </w:r>
    </w:p>
    <w:tbl>
      <w:tblPr>
        <w:tblW w:w="5000" w:type="pct"/>
        <w:tblLook w:val="04A0" w:firstRow="1" w:lastRow="0" w:firstColumn="1" w:lastColumn="0" w:noHBand="0" w:noVBand="1"/>
      </w:tblPr>
      <w:tblGrid>
        <w:gridCol w:w="7959"/>
        <w:gridCol w:w="828"/>
      </w:tblGrid>
      <w:tr w:rsidR="00646AC7" w:rsidRPr="00627C58" w14:paraId="740B38A0" w14:textId="77777777" w:rsidTr="00646AC7">
        <w:tc>
          <w:tcPr>
            <w:tcW w:w="7500" w:type="dxa"/>
            <w:shd w:val="clear" w:color="auto" w:fill="auto"/>
            <w:vAlign w:val="center"/>
          </w:tcPr>
          <w:p w14:paraId="6DE48754" w14:textId="3E2FA280" w:rsidR="00646AC7" w:rsidRPr="00646AC7" w:rsidRDefault="00407CBF" w:rsidP="00E368CD">
            <w:pPr>
              <w:pStyle w:val="CETEquation"/>
              <w:jc w:val="center"/>
              <w:rPr>
                <w:rFonts w:ascii="Cambria Math" w:hAnsi="Cambria Math" w:cs="Arial"/>
                <w:oMath/>
              </w:rPr>
            </w:pPr>
            <m:oMathPara>
              <m:oMath>
                <m:r>
                  <w:rPr>
                    <w:rFonts w:ascii="Cambria Math" w:hAnsi="Cambria Math" w:cs="Arial"/>
                  </w:rPr>
                  <m:t>R</m:t>
                </m:r>
                <m:r>
                  <m:rPr>
                    <m:sty m:val="p"/>
                  </m:rPr>
                  <w:rPr>
                    <w:rFonts w:ascii="Cambria Math" w:hAnsi="Cambria Math" w:cs="Arial"/>
                  </w:rPr>
                  <m:t xml:space="preserve"> </m:t>
                </m:r>
                <m:sSup>
                  <m:sSupPr>
                    <m:ctrlPr>
                      <w:rPr>
                        <w:rFonts w:ascii="Cambria Math" w:hAnsi="Cambria Math" w:cs="Arial"/>
                      </w:rPr>
                    </m:ctrlPr>
                  </m:sSupPr>
                  <m:e>
                    <m:r>
                      <w:rPr>
                        <w:rFonts w:ascii="Cambria Math" w:hAnsi="Cambria Math" w:cs="Arial"/>
                      </w:rPr>
                      <m:t>(m</m:t>
                    </m:r>
                  </m:e>
                  <m:sup>
                    <m:r>
                      <w:rPr>
                        <w:rFonts w:ascii="Cambria Math" w:hAnsi="Cambria Math" w:cs="Arial"/>
                      </w:rPr>
                      <m:t>3</m:t>
                    </m:r>
                  </m:sup>
                </m:sSup>
                <m:r>
                  <m:rPr>
                    <m:sty m:val="p"/>
                  </m:rPr>
                  <w:rPr>
                    <w:rFonts w:ascii="Cambria Math" w:hAnsi="Cambria Math" w:cs="Arial"/>
                  </w:rPr>
                  <m:t>)</m:t>
                </m:r>
                <m:r>
                  <w:rPr>
                    <w:rFonts w:ascii="Cambria Math" w:hAnsi="Cambria Math" w:cs="Arial"/>
                  </w:rPr>
                  <m:t>=</m:t>
                </m:r>
                <m:sSub>
                  <m:sSubPr>
                    <m:ctrlPr>
                      <w:rPr>
                        <w:rFonts w:ascii="Cambria Math" w:hAnsi="Cambria Math" w:cs="Arial"/>
                        <w:i/>
                        <w:iCs/>
                      </w:rPr>
                    </m:ctrlPr>
                  </m:sSubPr>
                  <m:e>
                    <m:r>
                      <w:rPr>
                        <w:rFonts w:ascii="Cambria Math" w:hAnsi="Cambria Math" w:cs="Arial"/>
                      </w:rPr>
                      <m:t xml:space="preserve">0.1 </m:t>
                    </m:r>
                    <m:r>
                      <m:rPr>
                        <m:sty m:val="p"/>
                      </m:rPr>
                      <w:rPr>
                        <w:rFonts w:ascii="Cambria Math" w:hAnsi="Cambria Math" w:cs="Arial"/>
                      </w:rPr>
                      <m:t>∙</m:t>
                    </m:r>
                    <m:r>
                      <w:rPr>
                        <w:rFonts w:ascii="Cambria Math" w:hAnsi="Cambria Math" w:cs="Arial"/>
                      </w:rPr>
                      <m:t xml:space="preserve"> A</m:t>
                    </m:r>
                  </m:e>
                  <m:sub>
                    <m:r>
                      <w:rPr>
                        <w:rFonts w:ascii="Cambria Math" w:hAnsi="Cambria Math" w:cs="Arial"/>
                      </w:rPr>
                      <m:t>f</m:t>
                    </m:r>
                  </m:sub>
                </m:sSub>
                <m:r>
                  <w:rPr>
                    <w:rFonts w:ascii="Cambria Math" w:hAnsi="Cambria Math" w:cs="Arial"/>
                  </w:rPr>
                  <m:t xml:space="preserve"> (</m:t>
                </m:r>
                <m:sSup>
                  <m:sSupPr>
                    <m:ctrlPr>
                      <w:rPr>
                        <w:rFonts w:ascii="Cambria Math" w:hAnsi="Cambria Math" w:cs="Arial"/>
                        <w:i/>
                        <w:iCs/>
                      </w:rPr>
                    </m:ctrlPr>
                  </m:sSupPr>
                  <m:e>
                    <m:r>
                      <w:rPr>
                        <w:rFonts w:ascii="Cambria Math" w:hAnsi="Cambria Math" w:cs="Arial"/>
                      </w:rPr>
                      <m:t>m</m:t>
                    </m:r>
                  </m:e>
                  <m:sup>
                    <m:r>
                      <w:rPr>
                        <w:rFonts w:ascii="Cambria Math" w:hAnsi="Cambria Math" w:cs="Arial"/>
                      </w:rPr>
                      <m:t>2</m:t>
                    </m:r>
                  </m:sup>
                </m:sSup>
                <m:r>
                  <w:rPr>
                    <w:rFonts w:ascii="Cambria Math" w:hAnsi="Cambria Math" w:cs="Arial"/>
                  </w:rPr>
                  <m:t>)</m:t>
                </m:r>
              </m:oMath>
            </m:oMathPara>
          </w:p>
        </w:tc>
        <w:tc>
          <w:tcPr>
            <w:tcW w:w="780" w:type="dxa"/>
            <w:shd w:val="clear" w:color="auto" w:fill="auto"/>
            <w:vAlign w:val="center"/>
          </w:tcPr>
          <w:p w14:paraId="732881DF" w14:textId="769BC175" w:rsidR="00646AC7" w:rsidRPr="00627C58" w:rsidRDefault="00646AC7" w:rsidP="00E368CD">
            <w:pPr>
              <w:pStyle w:val="CETEquation"/>
              <w:rPr>
                <w:rFonts w:cs="Arial"/>
              </w:rPr>
            </w:pPr>
            <w:r w:rsidRPr="00627C58">
              <w:rPr>
                <w:rFonts w:cs="Arial"/>
              </w:rPr>
              <w:t>(</w:t>
            </w:r>
            <w:r>
              <w:rPr>
                <w:rFonts w:cs="Arial"/>
              </w:rPr>
              <w:t>3</w:t>
            </w:r>
            <w:r w:rsidRPr="00627C58">
              <w:rPr>
                <w:rFonts w:cs="Arial"/>
              </w:rPr>
              <w:t>)</w:t>
            </w:r>
          </w:p>
        </w:tc>
      </w:tr>
    </w:tbl>
    <w:p w14:paraId="56DF601C" w14:textId="0048204B" w:rsidR="002A53EF" w:rsidRPr="0078686C" w:rsidRDefault="006906FF" w:rsidP="0078686C">
      <w:pPr>
        <w:pStyle w:val="CETBodytext"/>
        <w:rPr>
          <w:lang w:val="en-GB"/>
        </w:rPr>
      </w:pPr>
      <w:r w:rsidRPr="0078686C">
        <w:rPr>
          <w:lang w:val="en-GB"/>
        </w:rPr>
        <w:t xml:space="preserve">Considering that a comparison of the advanced JEG model with the other models </w:t>
      </w:r>
      <w:r w:rsidR="00415294" w:rsidRPr="0078686C">
        <w:rPr>
          <w:lang w:val="en-GB"/>
        </w:rPr>
        <w:t xml:space="preserve">has shown </w:t>
      </w:r>
      <w:r w:rsidRPr="0078686C">
        <w:rPr>
          <w:lang w:val="en-GB"/>
        </w:rPr>
        <w:t>that with lower fire densities, th</w:t>
      </w:r>
      <w:r w:rsidR="00415294" w:rsidRPr="0078686C">
        <w:rPr>
          <w:lang w:val="en-GB"/>
        </w:rPr>
        <w:t>e JEG</w:t>
      </w:r>
      <w:r w:rsidRPr="0078686C">
        <w:rPr>
          <w:lang w:val="en-GB"/>
        </w:rPr>
        <w:t xml:space="preserve"> model provides results within the mid-range of the</w:t>
      </w:r>
      <w:r w:rsidR="00415294" w:rsidRPr="0078686C">
        <w:rPr>
          <w:lang w:val="en-GB"/>
        </w:rPr>
        <w:t xml:space="preserve"> </w:t>
      </w:r>
      <w:r w:rsidRPr="0078686C">
        <w:rPr>
          <w:lang w:val="en-GB"/>
        </w:rPr>
        <w:t>other models</w:t>
      </w:r>
      <w:r w:rsidR="00F83DC3" w:rsidRPr="0078686C">
        <w:rPr>
          <w:lang w:val="en-GB"/>
        </w:rPr>
        <w:t>, while i</w:t>
      </w:r>
      <w:r w:rsidRPr="0078686C">
        <w:rPr>
          <w:lang w:val="en-GB"/>
        </w:rPr>
        <w:t>n the event of higher fire densities, the model achieves lower values</w:t>
      </w:r>
      <w:r w:rsidR="00F83DC3" w:rsidRPr="0078686C">
        <w:rPr>
          <w:lang w:val="en-GB"/>
        </w:rPr>
        <w:t xml:space="preserve"> (UNECE, 2019)</w:t>
      </w:r>
      <w:r w:rsidR="004908E9" w:rsidRPr="0078686C">
        <w:rPr>
          <w:lang w:val="en-GB"/>
        </w:rPr>
        <w:t xml:space="preserve"> </w:t>
      </w:r>
      <w:r w:rsidR="0073408D" w:rsidRPr="0078686C">
        <w:rPr>
          <w:lang w:val="en-GB"/>
        </w:rPr>
        <w:t xml:space="preserve">a reduction </w:t>
      </w:r>
      <w:r w:rsidR="00CA2121" w:rsidRPr="0078686C">
        <w:rPr>
          <w:lang w:val="en-GB"/>
        </w:rPr>
        <w:t>to</w:t>
      </w:r>
      <w:r w:rsidR="0073408D" w:rsidRPr="0078686C">
        <w:rPr>
          <w:lang w:val="en-GB"/>
        </w:rPr>
        <w:t xml:space="preserve"> 25</w:t>
      </w:r>
      <w:r w:rsidR="00DC3D75" w:rsidRPr="0078686C">
        <w:rPr>
          <w:lang w:val="en-GB"/>
        </w:rPr>
        <w:t xml:space="preserve"> </w:t>
      </w:r>
      <w:r w:rsidR="00DC3D75">
        <w:rPr>
          <w:rFonts w:cs="Arial"/>
          <w:lang w:val="en-GB"/>
        </w:rPr>
        <w:t>per cent</w:t>
      </w:r>
      <w:r w:rsidR="0073408D" w:rsidRPr="0078686C">
        <w:rPr>
          <w:lang w:val="en-GB"/>
        </w:rPr>
        <w:t xml:space="preserve"> </w:t>
      </w:r>
      <w:r w:rsidR="005E4B94" w:rsidRPr="0078686C">
        <w:rPr>
          <w:lang w:val="en-GB"/>
        </w:rPr>
        <w:t xml:space="preserve">instead </w:t>
      </w:r>
      <w:r w:rsidR="000E2919" w:rsidRPr="0078686C">
        <w:rPr>
          <w:lang w:val="en-GB"/>
        </w:rPr>
        <w:t xml:space="preserve">to10 </w:t>
      </w:r>
      <w:r w:rsidR="000E2919">
        <w:rPr>
          <w:rFonts w:cs="Arial"/>
          <w:lang w:val="en-GB"/>
        </w:rPr>
        <w:t>per cent</w:t>
      </w:r>
      <w:r w:rsidR="000E2919" w:rsidRPr="0078686C">
        <w:rPr>
          <w:lang w:val="en-GB"/>
        </w:rPr>
        <w:t xml:space="preserve"> </w:t>
      </w:r>
      <w:r w:rsidR="00DC3D75" w:rsidRPr="0078686C">
        <w:rPr>
          <w:lang w:val="en-GB"/>
        </w:rPr>
        <w:t xml:space="preserve">is considered for the presence of the </w:t>
      </w:r>
      <w:r w:rsidR="002A53EF" w:rsidRPr="0078686C">
        <w:rPr>
          <w:lang w:val="en-GB"/>
        </w:rPr>
        <w:t>operational factory fire service:</w:t>
      </w:r>
      <w:r w:rsidR="002A53EF" w:rsidRPr="00627C58">
        <w:rPr>
          <w:rFonts w:cs="Arial"/>
          <w:lang w:val="en-GB"/>
        </w:rPr>
        <w:t xml:space="preserve"> </w:t>
      </w:r>
    </w:p>
    <w:tbl>
      <w:tblPr>
        <w:tblW w:w="5000" w:type="pct"/>
        <w:tblLook w:val="04A0" w:firstRow="1" w:lastRow="0" w:firstColumn="1" w:lastColumn="0" w:noHBand="0" w:noVBand="1"/>
      </w:tblPr>
      <w:tblGrid>
        <w:gridCol w:w="7959"/>
        <w:gridCol w:w="828"/>
      </w:tblGrid>
      <w:tr w:rsidR="00086A2C" w:rsidRPr="00627C58" w14:paraId="1A00918F" w14:textId="77777777" w:rsidTr="00086A2C">
        <w:tc>
          <w:tcPr>
            <w:tcW w:w="7500" w:type="dxa"/>
            <w:shd w:val="clear" w:color="auto" w:fill="auto"/>
            <w:vAlign w:val="center"/>
          </w:tcPr>
          <w:p w14:paraId="24D77716" w14:textId="3C3844A7" w:rsidR="00086A2C" w:rsidRPr="00646AC7" w:rsidRDefault="00FA09DC" w:rsidP="00E368CD">
            <w:pPr>
              <w:pStyle w:val="CETEquation"/>
              <w:jc w:val="center"/>
              <w:rPr>
                <w:rFonts w:ascii="Cambria Math" w:hAnsi="Cambria Math" w:cs="Arial"/>
                <w:oMath/>
              </w:rPr>
            </w:pPr>
            <m:oMathPara>
              <m:oMath>
                <m:r>
                  <w:rPr>
                    <w:rFonts w:ascii="Cambria Math" w:hAnsi="Cambria Math" w:cs="Arial"/>
                  </w:rPr>
                  <m:t>R</m:t>
                </m:r>
                <m:r>
                  <m:rPr>
                    <m:sty m:val="p"/>
                  </m:rPr>
                  <w:rPr>
                    <w:rFonts w:ascii="Cambria Math" w:hAnsi="Cambria Math" w:cs="Arial"/>
                  </w:rPr>
                  <m:t xml:space="preserve"> </m:t>
                </m:r>
                <m:sSup>
                  <m:sSupPr>
                    <m:ctrlPr>
                      <w:rPr>
                        <w:rFonts w:ascii="Cambria Math" w:hAnsi="Cambria Math" w:cs="Arial"/>
                      </w:rPr>
                    </m:ctrlPr>
                  </m:sSupPr>
                  <m:e>
                    <m:r>
                      <w:rPr>
                        <w:rFonts w:ascii="Cambria Math" w:hAnsi="Cambria Math" w:cs="Arial"/>
                      </w:rPr>
                      <m:t>(m</m:t>
                    </m:r>
                  </m:e>
                  <m:sup>
                    <m:r>
                      <w:rPr>
                        <w:rFonts w:ascii="Cambria Math" w:hAnsi="Cambria Math" w:cs="Arial"/>
                      </w:rPr>
                      <m:t>3</m:t>
                    </m:r>
                  </m:sup>
                </m:sSup>
                <m:r>
                  <m:rPr>
                    <m:sty m:val="p"/>
                  </m:rPr>
                  <w:rPr>
                    <w:rFonts w:ascii="Cambria Math" w:hAnsi="Cambria Math" w:cs="Arial"/>
                  </w:rPr>
                  <m:t>)</m:t>
                </m:r>
                <m:r>
                  <w:rPr>
                    <w:rFonts w:ascii="Cambria Math" w:hAnsi="Cambria Math" w:cs="Arial"/>
                  </w:rPr>
                  <m:t>=</m:t>
                </m:r>
                <m:sSub>
                  <m:sSubPr>
                    <m:ctrlPr>
                      <w:rPr>
                        <w:rFonts w:ascii="Cambria Math" w:hAnsi="Cambria Math" w:cs="Arial"/>
                        <w:i/>
                        <w:iCs/>
                      </w:rPr>
                    </m:ctrlPr>
                  </m:sSubPr>
                  <m:e>
                    <m:r>
                      <w:rPr>
                        <w:rFonts w:ascii="Cambria Math" w:hAnsi="Cambria Math" w:cs="Arial"/>
                      </w:rPr>
                      <m:t>0.25 ∙ A</m:t>
                    </m:r>
                  </m:e>
                  <m:sub>
                    <m:r>
                      <w:rPr>
                        <w:rFonts w:ascii="Cambria Math" w:hAnsi="Cambria Math" w:cs="Arial"/>
                      </w:rPr>
                      <m:t>f</m:t>
                    </m:r>
                  </m:sub>
                </m:sSub>
                <m:r>
                  <w:rPr>
                    <w:rFonts w:ascii="Cambria Math" w:hAnsi="Cambria Math" w:cs="Arial"/>
                  </w:rPr>
                  <m:t xml:space="preserve"> (</m:t>
                </m:r>
                <m:sSup>
                  <m:sSupPr>
                    <m:ctrlPr>
                      <w:rPr>
                        <w:rFonts w:ascii="Cambria Math" w:hAnsi="Cambria Math" w:cs="Arial"/>
                        <w:i/>
                        <w:iCs/>
                      </w:rPr>
                    </m:ctrlPr>
                  </m:sSupPr>
                  <m:e>
                    <m:r>
                      <w:rPr>
                        <w:rFonts w:ascii="Cambria Math" w:hAnsi="Cambria Math" w:cs="Arial"/>
                      </w:rPr>
                      <m:t>m</m:t>
                    </m:r>
                  </m:e>
                  <m:sup>
                    <m:r>
                      <w:rPr>
                        <w:rFonts w:ascii="Cambria Math" w:hAnsi="Cambria Math" w:cs="Arial"/>
                      </w:rPr>
                      <m:t>2</m:t>
                    </m:r>
                  </m:sup>
                </m:sSup>
                <m:r>
                  <w:rPr>
                    <w:rFonts w:ascii="Cambria Math" w:hAnsi="Cambria Math" w:cs="Arial"/>
                  </w:rPr>
                  <m:t>)</m:t>
                </m:r>
              </m:oMath>
            </m:oMathPara>
          </w:p>
        </w:tc>
        <w:tc>
          <w:tcPr>
            <w:tcW w:w="780" w:type="dxa"/>
            <w:shd w:val="clear" w:color="auto" w:fill="auto"/>
            <w:vAlign w:val="center"/>
          </w:tcPr>
          <w:p w14:paraId="79004268" w14:textId="2AB3F077" w:rsidR="00086A2C" w:rsidRPr="00627C58" w:rsidRDefault="00086A2C" w:rsidP="00E368CD">
            <w:pPr>
              <w:pStyle w:val="CETEquation"/>
              <w:rPr>
                <w:rFonts w:cs="Arial"/>
              </w:rPr>
            </w:pPr>
            <w:r w:rsidRPr="00627C58">
              <w:rPr>
                <w:rFonts w:cs="Arial"/>
              </w:rPr>
              <w:t>(</w:t>
            </w:r>
            <w:r>
              <w:rPr>
                <w:rFonts w:cs="Arial"/>
              </w:rPr>
              <w:t>4</w:t>
            </w:r>
            <w:r w:rsidRPr="00627C58">
              <w:rPr>
                <w:rFonts w:cs="Arial"/>
              </w:rPr>
              <w:t>)</w:t>
            </w:r>
          </w:p>
        </w:tc>
      </w:tr>
    </w:tbl>
    <w:p w14:paraId="0A92D396" w14:textId="1FF736B9" w:rsidR="001A6265" w:rsidRDefault="001A6265" w:rsidP="0078686C">
      <w:pPr>
        <w:pStyle w:val="CETTabletitle"/>
      </w:pPr>
      <w:r>
        <w:lastRenderedPageBreak/>
        <w:t xml:space="preserve">Table </w:t>
      </w:r>
      <w:r>
        <w:fldChar w:fldCharType="begin"/>
      </w:r>
      <w:r>
        <w:instrText xml:space="preserve"> SEQ Table \* ARABIC </w:instrText>
      </w:r>
      <w:r>
        <w:fldChar w:fldCharType="separate"/>
      </w:r>
      <w:r w:rsidR="008B16E4">
        <w:rPr>
          <w:noProof/>
        </w:rPr>
        <w:t>2</w:t>
      </w:r>
      <w:r>
        <w:fldChar w:fldCharType="end"/>
      </w:r>
      <w:r w:rsidR="00FE2958" w:rsidRPr="00B57B36">
        <w:t xml:space="preserve">: </w:t>
      </w:r>
      <w:r w:rsidR="00FE2958">
        <w:t>Advanced JEG Model applied to curbed area surface and equipment surface</w:t>
      </w:r>
    </w:p>
    <w:tbl>
      <w:tblPr>
        <w:tblW w:w="82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0"/>
        <w:gridCol w:w="900"/>
        <w:gridCol w:w="1800"/>
        <w:gridCol w:w="2340"/>
        <w:gridCol w:w="1530"/>
      </w:tblGrid>
      <w:tr w:rsidR="00F3037B" w:rsidRPr="00B57B36" w14:paraId="30AEB5D4" w14:textId="77777777" w:rsidTr="00647437">
        <w:trPr>
          <w:trHeight w:val="240"/>
        </w:trPr>
        <w:tc>
          <w:tcPr>
            <w:tcW w:w="1710" w:type="dxa"/>
            <w:vMerge w:val="restart"/>
            <w:tcBorders>
              <w:top w:val="single" w:sz="12" w:space="0" w:color="008000"/>
            </w:tcBorders>
            <w:shd w:val="clear" w:color="auto" w:fill="FFFFFF"/>
            <w:vAlign w:val="center"/>
          </w:tcPr>
          <w:p w14:paraId="0550CF78" w14:textId="77777777" w:rsidR="00F3037B" w:rsidRPr="00B57B36" w:rsidRDefault="00F3037B" w:rsidP="00E368CD">
            <w:pPr>
              <w:pStyle w:val="CETBodytext"/>
              <w:jc w:val="left"/>
              <w:rPr>
                <w:lang w:val="en-GB"/>
              </w:rPr>
            </w:pPr>
            <w:r w:rsidRPr="00DA4954">
              <w:rPr>
                <w:lang w:val="en-GB"/>
              </w:rPr>
              <w:t xml:space="preserve">Area </w:t>
            </w:r>
          </w:p>
        </w:tc>
        <w:tc>
          <w:tcPr>
            <w:tcW w:w="900" w:type="dxa"/>
            <w:vMerge w:val="restart"/>
            <w:tcBorders>
              <w:top w:val="single" w:sz="12" w:space="0" w:color="008000"/>
            </w:tcBorders>
            <w:shd w:val="clear" w:color="auto" w:fill="FFFFFF"/>
            <w:vAlign w:val="center"/>
          </w:tcPr>
          <w:p w14:paraId="4901A362" w14:textId="5C580534" w:rsidR="00F3037B" w:rsidRPr="00B57B36" w:rsidRDefault="00F3037B" w:rsidP="008F726D">
            <w:pPr>
              <w:pStyle w:val="CETBodytext"/>
              <w:jc w:val="center"/>
              <w:rPr>
                <w:lang w:val="en-GB"/>
              </w:rPr>
            </w:pPr>
            <w:r>
              <w:rPr>
                <w:lang w:val="en-GB"/>
              </w:rPr>
              <w:t xml:space="preserve">A </w:t>
            </w:r>
            <w:r w:rsidR="00FB7412">
              <w:rPr>
                <w:lang w:val="en-GB"/>
              </w:rPr>
              <w:t>(</w:t>
            </w:r>
            <w:r>
              <w:rPr>
                <w:lang w:val="en-GB"/>
              </w:rPr>
              <w:t>m</w:t>
            </w:r>
            <w:r w:rsidRPr="009B053B">
              <w:rPr>
                <w:vertAlign w:val="superscript"/>
                <w:lang w:val="en-GB"/>
              </w:rPr>
              <w:t>2</w:t>
            </w:r>
            <w:r w:rsidR="00FB7412">
              <w:rPr>
                <w:lang w:val="en-GB"/>
              </w:rPr>
              <w:t>)</w:t>
            </w:r>
          </w:p>
        </w:tc>
        <w:tc>
          <w:tcPr>
            <w:tcW w:w="5670" w:type="dxa"/>
            <w:gridSpan w:val="3"/>
            <w:tcBorders>
              <w:top w:val="single" w:sz="12" w:space="0" w:color="008000"/>
              <w:bottom w:val="nil"/>
            </w:tcBorders>
            <w:shd w:val="clear" w:color="auto" w:fill="FFFFFF"/>
            <w:vAlign w:val="center"/>
          </w:tcPr>
          <w:p w14:paraId="79AB0368" w14:textId="5FB8E365" w:rsidR="00F3037B" w:rsidRPr="00514983" w:rsidRDefault="00F3037B" w:rsidP="008F726D">
            <w:pPr>
              <w:pStyle w:val="CETBodytext"/>
              <w:jc w:val="center"/>
              <w:rPr>
                <w:rFonts w:cs="Arial"/>
                <w:szCs w:val="18"/>
                <w:lang w:val="en-GB"/>
              </w:rPr>
            </w:pPr>
            <w:r w:rsidRPr="00514983">
              <w:rPr>
                <w:rFonts w:cs="Arial"/>
                <w:szCs w:val="18"/>
                <w:lang w:val="en-GB"/>
              </w:rPr>
              <w:t xml:space="preserve">FW Retention volume </w:t>
            </w:r>
            <w:r w:rsidR="00FB7412">
              <w:rPr>
                <w:rFonts w:cs="Arial"/>
                <w:szCs w:val="18"/>
                <w:lang w:val="en-GB"/>
              </w:rPr>
              <w:t>(</w:t>
            </w:r>
            <w:r w:rsidRPr="00514983">
              <w:rPr>
                <w:rFonts w:cs="Arial"/>
                <w:szCs w:val="18"/>
                <w:lang w:val="en-GB"/>
              </w:rPr>
              <w:t>m</w:t>
            </w:r>
            <w:r w:rsidRPr="00514983">
              <w:rPr>
                <w:rFonts w:cs="Arial"/>
                <w:szCs w:val="18"/>
                <w:vertAlign w:val="superscript"/>
                <w:lang w:val="en-GB"/>
              </w:rPr>
              <w:t>3</w:t>
            </w:r>
            <w:r w:rsidR="00FB7412">
              <w:rPr>
                <w:rFonts w:cs="Arial"/>
                <w:szCs w:val="18"/>
                <w:lang w:val="en-GB"/>
              </w:rPr>
              <w:t>)</w:t>
            </w:r>
          </w:p>
        </w:tc>
      </w:tr>
      <w:tr w:rsidR="00F3037B" w:rsidRPr="00B57B36" w14:paraId="534DD6EA" w14:textId="77777777" w:rsidTr="00647437">
        <w:tc>
          <w:tcPr>
            <w:tcW w:w="1710" w:type="dxa"/>
            <w:vMerge/>
            <w:tcBorders>
              <w:bottom w:val="single" w:sz="6" w:space="0" w:color="008000"/>
            </w:tcBorders>
            <w:shd w:val="clear" w:color="auto" w:fill="FFFFFF"/>
            <w:vAlign w:val="center"/>
          </w:tcPr>
          <w:p w14:paraId="58C8B9D4" w14:textId="77777777" w:rsidR="00F3037B" w:rsidRPr="00DA4954" w:rsidRDefault="00F3037B" w:rsidP="00E368CD">
            <w:pPr>
              <w:pStyle w:val="CETBodytext"/>
              <w:jc w:val="left"/>
              <w:rPr>
                <w:lang w:val="en-GB"/>
              </w:rPr>
            </w:pPr>
          </w:p>
        </w:tc>
        <w:tc>
          <w:tcPr>
            <w:tcW w:w="900" w:type="dxa"/>
            <w:vMerge/>
            <w:tcBorders>
              <w:bottom w:val="single" w:sz="6" w:space="0" w:color="008000"/>
            </w:tcBorders>
            <w:shd w:val="clear" w:color="auto" w:fill="FFFFFF"/>
            <w:vAlign w:val="center"/>
          </w:tcPr>
          <w:p w14:paraId="278DE893" w14:textId="77777777" w:rsidR="00F3037B" w:rsidRDefault="00F3037B" w:rsidP="008F726D">
            <w:pPr>
              <w:pStyle w:val="CETBodytext"/>
              <w:jc w:val="center"/>
              <w:rPr>
                <w:lang w:val="en-GB"/>
              </w:rPr>
            </w:pPr>
          </w:p>
        </w:tc>
        <w:tc>
          <w:tcPr>
            <w:tcW w:w="1800" w:type="dxa"/>
            <w:tcBorders>
              <w:top w:val="nil"/>
              <w:bottom w:val="single" w:sz="6" w:space="0" w:color="008000"/>
            </w:tcBorders>
            <w:shd w:val="clear" w:color="auto" w:fill="FFFFFF"/>
            <w:vAlign w:val="center"/>
          </w:tcPr>
          <w:p w14:paraId="0A201670" w14:textId="043574F9" w:rsidR="00F3037B" w:rsidRPr="00514983" w:rsidRDefault="00F3037B" w:rsidP="008F726D">
            <w:pPr>
              <w:pStyle w:val="CETBodytext"/>
              <w:jc w:val="center"/>
              <w:rPr>
                <w:rFonts w:cs="Arial"/>
                <w:szCs w:val="18"/>
                <w:lang w:val="en-GB"/>
              </w:rPr>
            </w:pPr>
            <w:r>
              <w:rPr>
                <w:rFonts w:cs="Arial"/>
                <w:szCs w:val="18"/>
                <w:lang w:val="en-GB"/>
              </w:rPr>
              <w:t xml:space="preserve">No </w:t>
            </w:r>
            <w:r w:rsidRPr="00FB21E4">
              <w:rPr>
                <w:rFonts w:cs="Arial"/>
                <w:szCs w:val="18"/>
                <w:lang w:val="en-GB"/>
              </w:rPr>
              <w:t>operational factory fire service</w:t>
            </w:r>
          </w:p>
        </w:tc>
        <w:tc>
          <w:tcPr>
            <w:tcW w:w="2340" w:type="dxa"/>
            <w:tcBorders>
              <w:top w:val="nil"/>
              <w:bottom w:val="single" w:sz="6" w:space="0" w:color="008000"/>
            </w:tcBorders>
            <w:shd w:val="clear" w:color="auto" w:fill="FFFFFF"/>
            <w:vAlign w:val="center"/>
          </w:tcPr>
          <w:p w14:paraId="0C0981A9" w14:textId="1F7F4A99" w:rsidR="00F3037B" w:rsidRPr="00514983" w:rsidRDefault="00F3037B" w:rsidP="008F726D">
            <w:pPr>
              <w:pStyle w:val="CETBodytext"/>
              <w:ind w:right="-1"/>
              <w:jc w:val="center"/>
              <w:rPr>
                <w:rFonts w:cs="Arial"/>
                <w:szCs w:val="18"/>
                <w:lang w:val="en-GB"/>
              </w:rPr>
            </w:pPr>
            <w:r>
              <w:rPr>
                <w:rFonts w:cs="Arial"/>
                <w:szCs w:val="18"/>
                <w:lang w:val="en-GB"/>
              </w:rPr>
              <w:t>O</w:t>
            </w:r>
            <w:r w:rsidRPr="00FB21E4">
              <w:rPr>
                <w:rFonts w:cs="Arial"/>
                <w:szCs w:val="18"/>
                <w:lang w:val="en-GB"/>
              </w:rPr>
              <w:t xml:space="preserve">perational factory fire service </w:t>
            </w:r>
            <w:r w:rsidR="003B64C6">
              <w:rPr>
                <w:rFonts w:cs="Arial"/>
                <w:szCs w:val="18"/>
                <w:lang w:val="en-GB"/>
              </w:rPr>
              <w:t xml:space="preserve">- </w:t>
            </w:r>
            <w:r w:rsidRPr="00FB21E4">
              <w:rPr>
                <w:rFonts w:cs="Arial"/>
                <w:szCs w:val="18"/>
                <w:lang w:val="en-GB"/>
              </w:rPr>
              <w:t>0</w:t>
            </w:r>
            <w:r>
              <w:rPr>
                <w:rFonts w:cs="Arial"/>
                <w:szCs w:val="18"/>
                <w:lang w:val="en-GB"/>
              </w:rPr>
              <w:t>.1</w:t>
            </w:r>
          </w:p>
        </w:tc>
        <w:tc>
          <w:tcPr>
            <w:tcW w:w="1530" w:type="dxa"/>
            <w:tcBorders>
              <w:top w:val="nil"/>
              <w:bottom w:val="single" w:sz="6" w:space="0" w:color="008000"/>
            </w:tcBorders>
            <w:shd w:val="clear" w:color="auto" w:fill="FFFFFF"/>
            <w:vAlign w:val="center"/>
          </w:tcPr>
          <w:p w14:paraId="63BFE1FF" w14:textId="2F7EB9D3" w:rsidR="00F3037B" w:rsidRPr="00514983" w:rsidRDefault="00F3037B" w:rsidP="008F726D">
            <w:pPr>
              <w:pStyle w:val="CETBodytext"/>
              <w:ind w:right="-1"/>
              <w:jc w:val="center"/>
              <w:rPr>
                <w:rFonts w:cs="Arial"/>
                <w:szCs w:val="18"/>
                <w:lang w:val="en-GB"/>
              </w:rPr>
            </w:pPr>
            <w:r>
              <w:rPr>
                <w:rFonts w:cs="Arial"/>
                <w:szCs w:val="18"/>
                <w:lang w:val="en-GB"/>
              </w:rPr>
              <w:t>O</w:t>
            </w:r>
            <w:r w:rsidRPr="00FB21E4">
              <w:rPr>
                <w:rFonts w:cs="Arial"/>
                <w:szCs w:val="18"/>
                <w:lang w:val="en-GB"/>
              </w:rPr>
              <w:t>perational factory fire service</w:t>
            </w:r>
            <w:r w:rsidR="003B64C6">
              <w:rPr>
                <w:rFonts w:cs="Arial"/>
                <w:szCs w:val="18"/>
                <w:lang w:val="en-GB"/>
              </w:rPr>
              <w:t xml:space="preserve"> -</w:t>
            </w:r>
            <w:r w:rsidRPr="00FB21E4">
              <w:rPr>
                <w:rFonts w:cs="Arial"/>
                <w:szCs w:val="18"/>
                <w:lang w:val="en-GB"/>
              </w:rPr>
              <w:t xml:space="preserve"> 0.25</w:t>
            </w:r>
          </w:p>
        </w:tc>
      </w:tr>
      <w:tr w:rsidR="00C066E1" w:rsidRPr="00B57B36" w14:paraId="0C518211" w14:textId="77777777" w:rsidTr="00647437">
        <w:trPr>
          <w:trHeight w:val="651"/>
        </w:trPr>
        <w:tc>
          <w:tcPr>
            <w:tcW w:w="1710" w:type="dxa"/>
            <w:shd w:val="clear" w:color="auto" w:fill="FFFFFF"/>
            <w:vAlign w:val="center"/>
          </w:tcPr>
          <w:p w14:paraId="39824209" w14:textId="77777777" w:rsidR="00C066E1" w:rsidRPr="00CC3CEA" w:rsidRDefault="00C066E1" w:rsidP="00E368CD">
            <w:pPr>
              <w:pStyle w:val="CETBodytext"/>
              <w:jc w:val="left"/>
              <w:rPr>
                <w:szCs w:val="18"/>
                <w:lang w:val="en-GB"/>
              </w:rPr>
            </w:pPr>
            <w:r w:rsidRPr="00CC3CEA">
              <w:rPr>
                <w:rFonts w:cs="Arial"/>
                <w:szCs w:val="18"/>
              </w:rPr>
              <w:t>FA-7 curbed area surface</w:t>
            </w:r>
          </w:p>
        </w:tc>
        <w:tc>
          <w:tcPr>
            <w:tcW w:w="900" w:type="dxa"/>
            <w:shd w:val="clear" w:color="auto" w:fill="FFFFFF"/>
            <w:vAlign w:val="center"/>
          </w:tcPr>
          <w:p w14:paraId="552C19B3" w14:textId="7D10BC4B" w:rsidR="00C066E1" w:rsidRPr="00CC3CEA" w:rsidRDefault="00C066E1" w:rsidP="008F726D">
            <w:pPr>
              <w:pStyle w:val="CETBodytext"/>
              <w:jc w:val="center"/>
              <w:rPr>
                <w:szCs w:val="18"/>
                <w:lang w:val="en-GB"/>
              </w:rPr>
            </w:pPr>
            <w:r w:rsidRPr="00CC3CEA">
              <w:rPr>
                <w:rFonts w:cs="Arial"/>
                <w:szCs w:val="18"/>
              </w:rPr>
              <w:t>7</w:t>
            </w:r>
            <w:r w:rsidR="00145F6C">
              <w:rPr>
                <w:rFonts w:cs="Arial"/>
                <w:szCs w:val="18"/>
              </w:rPr>
              <w:t>,</w:t>
            </w:r>
            <w:r w:rsidRPr="00CC3CEA">
              <w:rPr>
                <w:rFonts w:cs="Arial"/>
                <w:szCs w:val="18"/>
              </w:rPr>
              <w:t>150</w:t>
            </w:r>
          </w:p>
        </w:tc>
        <w:tc>
          <w:tcPr>
            <w:tcW w:w="1800" w:type="dxa"/>
            <w:shd w:val="clear" w:color="auto" w:fill="FFFFFF"/>
            <w:vAlign w:val="center"/>
          </w:tcPr>
          <w:p w14:paraId="17E2DE58" w14:textId="72D8FF1F" w:rsidR="00C066E1" w:rsidRPr="00CC3CEA" w:rsidRDefault="00C066E1" w:rsidP="008F726D">
            <w:pPr>
              <w:pStyle w:val="CETBodytext"/>
              <w:jc w:val="center"/>
              <w:rPr>
                <w:szCs w:val="18"/>
                <w:lang w:val="en-GB"/>
              </w:rPr>
            </w:pPr>
            <w:r w:rsidRPr="00CC3CEA">
              <w:rPr>
                <w:rFonts w:cs="Arial"/>
                <w:szCs w:val="18"/>
              </w:rPr>
              <w:t>7</w:t>
            </w:r>
            <w:r w:rsidR="004F208D">
              <w:rPr>
                <w:rFonts w:cs="Arial"/>
                <w:szCs w:val="18"/>
              </w:rPr>
              <w:t>,</w:t>
            </w:r>
            <w:r w:rsidRPr="00CC3CEA">
              <w:rPr>
                <w:rFonts w:cs="Arial"/>
                <w:szCs w:val="18"/>
              </w:rPr>
              <w:t>150</w:t>
            </w:r>
          </w:p>
        </w:tc>
        <w:tc>
          <w:tcPr>
            <w:tcW w:w="2340" w:type="dxa"/>
            <w:shd w:val="clear" w:color="auto" w:fill="FFFFFF"/>
            <w:vAlign w:val="center"/>
          </w:tcPr>
          <w:p w14:paraId="7578822C" w14:textId="77777777" w:rsidR="00C066E1" w:rsidRPr="00CC3CEA" w:rsidRDefault="00C066E1" w:rsidP="008F726D">
            <w:pPr>
              <w:pStyle w:val="CETBodytext"/>
              <w:ind w:right="-1"/>
              <w:jc w:val="center"/>
              <w:rPr>
                <w:rFonts w:cs="Arial"/>
                <w:szCs w:val="18"/>
                <w:lang w:val="en-GB"/>
              </w:rPr>
            </w:pPr>
            <w:r>
              <w:rPr>
                <w:rFonts w:cs="Arial"/>
                <w:szCs w:val="18"/>
              </w:rPr>
              <w:t>715</w:t>
            </w:r>
          </w:p>
        </w:tc>
        <w:tc>
          <w:tcPr>
            <w:tcW w:w="1530" w:type="dxa"/>
            <w:shd w:val="clear" w:color="auto" w:fill="FFFFFF"/>
            <w:vAlign w:val="center"/>
          </w:tcPr>
          <w:p w14:paraId="2B26D8A2" w14:textId="7CEFB1E3" w:rsidR="00C066E1" w:rsidRPr="00514983" w:rsidRDefault="00C066E1" w:rsidP="008F726D">
            <w:pPr>
              <w:pStyle w:val="CETBodytext"/>
              <w:ind w:right="-1"/>
              <w:jc w:val="center"/>
              <w:rPr>
                <w:rFonts w:cs="Arial"/>
                <w:szCs w:val="18"/>
                <w:lang w:val="en-GB"/>
              </w:rPr>
            </w:pPr>
            <w:r>
              <w:rPr>
                <w:rFonts w:cs="Arial"/>
                <w:szCs w:val="18"/>
                <w:lang w:val="en-GB"/>
              </w:rPr>
              <w:t>1</w:t>
            </w:r>
            <w:r w:rsidR="004F208D">
              <w:rPr>
                <w:rFonts w:cs="Arial"/>
                <w:szCs w:val="18"/>
                <w:lang w:val="en-GB"/>
              </w:rPr>
              <w:t>,</w:t>
            </w:r>
            <w:r>
              <w:rPr>
                <w:rFonts w:cs="Arial"/>
                <w:szCs w:val="18"/>
                <w:lang w:val="en-GB"/>
              </w:rPr>
              <w:t>788</w:t>
            </w:r>
          </w:p>
        </w:tc>
      </w:tr>
      <w:tr w:rsidR="00C066E1" w:rsidRPr="00B57B36" w14:paraId="2FC25427" w14:textId="77777777" w:rsidTr="00647437">
        <w:tc>
          <w:tcPr>
            <w:tcW w:w="1710" w:type="dxa"/>
            <w:shd w:val="clear" w:color="auto" w:fill="FFFFFF"/>
          </w:tcPr>
          <w:p w14:paraId="2DF77708" w14:textId="77777777" w:rsidR="00C066E1" w:rsidRDefault="00C066E1" w:rsidP="00E368CD">
            <w:pPr>
              <w:pStyle w:val="CETBodytext"/>
              <w:ind w:right="-1"/>
              <w:jc w:val="left"/>
              <w:rPr>
                <w:rFonts w:cs="Arial"/>
                <w:szCs w:val="18"/>
              </w:rPr>
            </w:pPr>
            <w:r w:rsidRPr="00CC3CEA">
              <w:rPr>
                <w:rFonts w:cs="Arial"/>
                <w:szCs w:val="18"/>
              </w:rPr>
              <w:t xml:space="preserve">Equipment </w:t>
            </w:r>
          </w:p>
          <w:p w14:paraId="099E31DF" w14:textId="77777777" w:rsidR="00C066E1" w:rsidRPr="00CC3CEA" w:rsidRDefault="00C066E1" w:rsidP="00E368CD">
            <w:pPr>
              <w:pStyle w:val="CETBodytext"/>
              <w:ind w:right="-1"/>
              <w:jc w:val="left"/>
              <w:rPr>
                <w:rFonts w:cs="Arial"/>
                <w:szCs w:val="18"/>
                <w:lang w:val="en-GB"/>
              </w:rPr>
            </w:pPr>
            <w:r w:rsidRPr="00CC3CEA">
              <w:rPr>
                <w:rFonts w:cs="Arial"/>
                <w:szCs w:val="18"/>
              </w:rPr>
              <w:t>surface in FA-7</w:t>
            </w:r>
          </w:p>
        </w:tc>
        <w:tc>
          <w:tcPr>
            <w:tcW w:w="900" w:type="dxa"/>
            <w:shd w:val="clear" w:color="auto" w:fill="FFFFFF"/>
            <w:vAlign w:val="center"/>
          </w:tcPr>
          <w:p w14:paraId="14EBE1D3" w14:textId="2E1F2C35" w:rsidR="00C066E1" w:rsidRPr="00CC3CEA" w:rsidRDefault="00C066E1" w:rsidP="008F726D">
            <w:pPr>
              <w:pStyle w:val="CETBodytext"/>
              <w:ind w:right="-1"/>
              <w:jc w:val="center"/>
              <w:rPr>
                <w:rFonts w:cs="Arial"/>
                <w:szCs w:val="18"/>
                <w:lang w:val="en-GB"/>
              </w:rPr>
            </w:pPr>
            <w:r w:rsidRPr="00CC3CEA">
              <w:rPr>
                <w:rFonts w:cs="Arial"/>
                <w:szCs w:val="18"/>
                <w:lang w:val="en-GB"/>
              </w:rPr>
              <w:t>4</w:t>
            </w:r>
            <w:r w:rsidR="004F208D">
              <w:rPr>
                <w:rFonts w:cs="Arial"/>
                <w:szCs w:val="18"/>
                <w:lang w:val="en-GB"/>
              </w:rPr>
              <w:t>,</w:t>
            </w:r>
            <w:r w:rsidRPr="00CC3CEA">
              <w:rPr>
                <w:rFonts w:cs="Arial"/>
                <w:szCs w:val="18"/>
                <w:lang w:val="en-GB"/>
              </w:rPr>
              <w:t>355</w:t>
            </w:r>
          </w:p>
        </w:tc>
        <w:tc>
          <w:tcPr>
            <w:tcW w:w="1800" w:type="dxa"/>
            <w:shd w:val="clear" w:color="auto" w:fill="FFFFFF"/>
            <w:vAlign w:val="center"/>
          </w:tcPr>
          <w:p w14:paraId="38431CC4" w14:textId="09C03789" w:rsidR="00C066E1" w:rsidRPr="00CC3CEA" w:rsidRDefault="00C066E1" w:rsidP="008F726D">
            <w:pPr>
              <w:pStyle w:val="CETBodytext"/>
              <w:ind w:right="-1"/>
              <w:jc w:val="center"/>
              <w:rPr>
                <w:rFonts w:cs="Arial"/>
                <w:szCs w:val="18"/>
                <w:lang w:val="en-GB"/>
              </w:rPr>
            </w:pPr>
            <w:r w:rsidRPr="00CC3CEA">
              <w:rPr>
                <w:rFonts w:cs="Arial"/>
                <w:szCs w:val="18"/>
                <w:lang w:val="en-GB"/>
              </w:rPr>
              <w:t>4</w:t>
            </w:r>
            <w:r w:rsidR="004F208D">
              <w:rPr>
                <w:rFonts w:cs="Arial"/>
                <w:szCs w:val="18"/>
                <w:lang w:val="en-GB"/>
              </w:rPr>
              <w:t>,</w:t>
            </w:r>
            <w:r w:rsidRPr="00CC3CEA">
              <w:rPr>
                <w:rFonts w:cs="Arial"/>
                <w:szCs w:val="18"/>
                <w:lang w:val="en-GB"/>
              </w:rPr>
              <w:t>355</w:t>
            </w:r>
          </w:p>
        </w:tc>
        <w:tc>
          <w:tcPr>
            <w:tcW w:w="2340" w:type="dxa"/>
            <w:shd w:val="clear" w:color="auto" w:fill="FFFFFF"/>
            <w:vAlign w:val="center"/>
          </w:tcPr>
          <w:p w14:paraId="01B35F20" w14:textId="77777777" w:rsidR="00C066E1" w:rsidRPr="00CC3CEA" w:rsidRDefault="00C066E1" w:rsidP="008F726D">
            <w:pPr>
              <w:pStyle w:val="CETBodytext"/>
              <w:ind w:right="-1"/>
              <w:jc w:val="center"/>
              <w:rPr>
                <w:rFonts w:cs="Arial"/>
                <w:szCs w:val="18"/>
                <w:lang w:val="en-GB"/>
              </w:rPr>
            </w:pPr>
            <w:r>
              <w:rPr>
                <w:rFonts w:cs="Arial"/>
                <w:szCs w:val="18"/>
                <w:lang w:val="en-GB"/>
              </w:rPr>
              <w:t>436</w:t>
            </w:r>
          </w:p>
        </w:tc>
        <w:tc>
          <w:tcPr>
            <w:tcW w:w="1530" w:type="dxa"/>
            <w:shd w:val="clear" w:color="auto" w:fill="FFFFFF"/>
            <w:vAlign w:val="center"/>
          </w:tcPr>
          <w:p w14:paraId="595512E2" w14:textId="128839FE" w:rsidR="00C066E1" w:rsidRPr="00514983" w:rsidRDefault="00C066E1" w:rsidP="008F726D">
            <w:pPr>
              <w:pStyle w:val="CETBodytext"/>
              <w:ind w:right="-1"/>
              <w:jc w:val="center"/>
              <w:rPr>
                <w:rFonts w:cs="Arial"/>
                <w:szCs w:val="18"/>
                <w:lang w:val="en-GB"/>
              </w:rPr>
            </w:pPr>
            <w:r w:rsidRPr="00514983">
              <w:rPr>
                <w:rFonts w:cs="Arial"/>
                <w:szCs w:val="18"/>
                <w:lang w:val="en-GB"/>
              </w:rPr>
              <w:t>1</w:t>
            </w:r>
            <w:r w:rsidR="004F208D">
              <w:rPr>
                <w:rFonts w:cs="Arial"/>
                <w:szCs w:val="18"/>
                <w:lang w:val="en-GB"/>
              </w:rPr>
              <w:t>,</w:t>
            </w:r>
            <w:r>
              <w:rPr>
                <w:rFonts w:cs="Arial"/>
                <w:szCs w:val="18"/>
                <w:lang w:val="en-GB"/>
              </w:rPr>
              <w:t>089</w:t>
            </w:r>
          </w:p>
        </w:tc>
      </w:tr>
    </w:tbl>
    <w:p w14:paraId="4E6F5A77" w14:textId="77777777" w:rsidR="00552247" w:rsidRPr="00627C58" w:rsidRDefault="00552247" w:rsidP="0078686C">
      <w:pPr>
        <w:pStyle w:val="CETheadingx"/>
      </w:pPr>
      <w:r w:rsidRPr="00627C58">
        <w:t>Province of Hessen Model</w:t>
      </w:r>
    </w:p>
    <w:p w14:paraId="283C301B" w14:textId="663CDBED" w:rsidR="000368D2" w:rsidRPr="0078686C" w:rsidRDefault="00552247" w:rsidP="0078686C">
      <w:pPr>
        <w:pStyle w:val="CETBodytext"/>
        <w:rPr>
          <w:lang w:val="en-GB"/>
        </w:rPr>
      </w:pPr>
      <w:r w:rsidRPr="0078686C">
        <w:rPr>
          <w:lang w:val="en-GB"/>
        </w:rPr>
        <w:t xml:space="preserve">The model developed for industrial sites by the German Federal State of Hessen in 2011 for industrial sites is based on empirical data or assessment of the fire load </w:t>
      </w:r>
      <w:r w:rsidR="00FB7412" w:rsidRPr="0078686C">
        <w:rPr>
          <w:lang w:val="en-GB"/>
        </w:rPr>
        <w:t>(</w:t>
      </w:r>
      <w:r w:rsidR="00FA09DC" w:rsidRPr="0078686C">
        <w:rPr>
          <w:lang w:val="en-GB"/>
        </w:rPr>
        <w:t>UNECE, 2019</w:t>
      </w:r>
      <w:r w:rsidR="00FB7412" w:rsidRPr="0078686C">
        <w:rPr>
          <w:lang w:val="en-GB"/>
        </w:rPr>
        <w:t>)</w:t>
      </w:r>
      <w:r w:rsidRPr="0078686C">
        <w:rPr>
          <w:lang w:val="en-GB"/>
        </w:rPr>
        <w:t xml:space="preserve">. </w:t>
      </w:r>
      <w:r w:rsidR="00407706" w:rsidRPr="0078686C">
        <w:rPr>
          <w:lang w:val="en-GB"/>
        </w:rPr>
        <w:t>For objects or fire compartments larger than 600 m</w:t>
      </w:r>
      <w:r w:rsidR="00407706" w:rsidRPr="0078686C">
        <w:rPr>
          <w:vertAlign w:val="superscript"/>
          <w:lang w:val="en-GB"/>
        </w:rPr>
        <w:t>2</w:t>
      </w:r>
      <w:r w:rsidR="00407706" w:rsidRPr="0078686C">
        <w:rPr>
          <w:lang w:val="en-GB"/>
        </w:rPr>
        <w:t>, t</w:t>
      </w:r>
      <w:r w:rsidR="000368D2" w:rsidRPr="0078686C">
        <w:rPr>
          <w:lang w:val="en-GB"/>
        </w:rPr>
        <w:t>he dimensioning of firefighting water retention basins can be calculated as follows:</w:t>
      </w:r>
    </w:p>
    <w:p w14:paraId="1DB678DF" w14:textId="77777777" w:rsidR="005218C6" w:rsidRPr="0078686C" w:rsidRDefault="005218C6" w:rsidP="0078686C">
      <w:pPr>
        <w:pStyle w:val="CETBodytext"/>
        <w:rPr>
          <w:lang w:val="en-GB"/>
        </w:rPr>
      </w:pPr>
    </w:p>
    <w:tbl>
      <w:tblPr>
        <w:tblW w:w="4763" w:type="pct"/>
        <w:tblLook w:val="04A0" w:firstRow="1" w:lastRow="0" w:firstColumn="1" w:lastColumn="0" w:noHBand="0" w:noVBand="1"/>
      </w:tblPr>
      <w:tblGrid>
        <w:gridCol w:w="7244"/>
        <w:gridCol w:w="1126"/>
      </w:tblGrid>
      <w:tr w:rsidR="00522F51" w:rsidRPr="004B798B" w14:paraId="5151E329" w14:textId="29511942" w:rsidTr="00522F51">
        <w:tc>
          <w:tcPr>
            <w:tcW w:w="7244" w:type="dxa"/>
            <w:shd w:val="clear" w:color="auto" w:fill="auto"/>
            <w:vAlign w:val="center"/>
          </w:tcPr>
          <w:p w14:paraId="5B87CEB9" w14:textId="3905F506" w:rsidR="00522F51" w:rsidRPr="005218C6" w:rsidRDefault="00522F51" w:rsidP="00F21256">
            <w:pPr>
              <w:pStyle w:val="CETEquation"/>
              <w:jc w:val="center"/>
              <w:rPr>
                <w:rFonts w:ascii="Cambria Math" w:hAnsi="Cambria Math" w:cs="Arial"/>
                <w:oMath/>
              </w:rPr>
            </w:pPr>
            <m:oMathPara>
              <m:oMathParaPr>
                <m:jc m:val="center"/>
              </m:oMathParaPr>
              <m:oMath>
                <m:r>
                  <w:rPr>
                    <w:rFonts w:ascii="Cambria Math" w:hAnsi="Cambria Math" w:cs="Arial"/>
                  </w:rPr>
                  <m:t xml:space="preserve">R </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)=fire area (</m:t>
                </m:r>
                <m:sSup>
                  <m:sSupPr>
                    <m:ctrlPr>
                      <w:rPr>
                        <w:rFonts w:ascii="Cambria Math" w:hAnsi="Cambria Math" w:cs="Arial"/>
                        <w:i/>
                        <w:iCs/>
                        <w:lang w:val="en-US"/>
                      </w:rPr>
                    </m:ctrlPr>
                  </m:sSupPr>
                  <m:e>
                    <m:r>
                      <w:rPr>
                        <w:rFonts w:ascii="Cambria Math" w:hAnsi="Cambria Math" w:cs="Arial"/>
                      </w:rPr>
                      <m:t>m</m:t>
                    </m:r>
                  </m:e>
                  <m:sup>
                    <m:r>
                      <w:rPr>
                        <w:rFonts w:ascii="Cambria Math" w:hAnsi="Cambria Math" w:cs="Arial"/>
                      </w:rPr>
                      <m:t>2</m:t>
                    </m:r>
                  </m:sup>
                </m:sSup>
                <m:r>
                  <w:rPr>
                    <w:rFonts w:ascii="Cambria Math" w:hAnsi="Cambria Math" w:cs="Arial"/>
                  </w:rPr>
                  <m:t>) * 0.18</m:t>
                </m:r>
              </m:oMath>
            </m:oMathPara>
          </w:p>
        </w:tc>
        <w:tc>
          <w:tcPr>
            <w:tcW w:w="1126" w:type="dxa"/>
            <w:shd w:val="clear" w:color="auto" w:fill="auto"/>
            <w:vAlign w:val="center"/>
          </w:tcPr>
          <w:p w14:paraId="041268FA" w14:textId="77777777" w:rsidR="00522F51" w:rsidRPr="005D5E2B" w:rsidRDefault="00522F51" w:rsidP="005218C6">
            <w:pPr>
              <w:pStyle w:val="CETEquation"/>
              <w:jc w:val="right"/>
              <w:rPr>
                <w:rFonts w:cs="Arial"/>
              </w:rPr>
            </w:pPr>
            <w:r w:rsidRPr="005D5E2B">
              <w:rPr>
                <w:rFonts w:cs="Arial"/>
              </w:rPr>
              <w:t>(</w:t>
            </w:r>
            <w:r>
              <w:rPr>
                <w:rFonts w:cs="Arial"/>
              </w:rPr>
              <w:t>5</w:t>
            </w:r>
            <w:r w:rsidRPr="005D5E2B">
              <w:rPr>
                <w:rFonts w:cs="Arial"/>
              </w:rPr>
              <w:t>)</w:t>
            </w:r>
          </w:p>
        </w:tc>
      </w:tr>
    </w:tbl>
    <w:p w14:paraId="4FECA54B" w14:textId="77777777" w:rsidR="005218C6" w:rsidRDefault="005218C6" w:rsidP="00552247">
      <w:pPr>
        <w:pStyle w:val="CETBodytext"/>
        <w:rPr>
          <w:rFonts w:cs="Arial"/>
          <w:lang w:val="en-GB"/>
        </w:rPr>
      </w:pPr>
    </w:p>
    <w:p w14:paraId="5BF6C67D" w14:textId="778C7313" w:rsidR="00552247" w:rsidRPr="0078686C" w:rsidRDefault="00552247" w:rsidP="0078686C">
      <w:pPr>
        <w:pStyle w:val="CETBodytext"/>
        <w:rPr>
          <w:lang w:val="en-GB"/>
        </w:rPr>
      </w:pPr>
      <w:r w:rsidRPr="0078686C">
        <w:rPr>
          <w:lang w:val="en-GB"/>
        </w:rPr>
        <w:t>The calculated retention volumes are</w:t>
      </w:r>
      <w:r w:rsidR="00B16DF6" w:rsidRPr="0078686C">
        <w:rPr>
          <w:lang w:val="en-GB"/>
        </w:rPr>
        <w:t xml:space="preserve"> shown in </w:t>
      </w:r>
      <w:r w:rsidR="00D83E1C">
        <w:rPr>
          <w:rFonts w:cs="Arial"/>
          <w:lang w:val="en-GB"/>
        </w:rPr>
        <w:fldChar w:fldCharType="begin"/>
      </w:r>
      <w:r w:rsidR="00D83E1C">
        <w:rPr>
          <w:rFonts w:cs="Arial"/>
          <w:lang w:val="en-GB"/>
        </w:rPr>
        <w:instrText xml:space="preserve"> REF _Ref179450691 \h </w:instrText>
      </w:r>
      <w:r w:rsidR="00D83E1C">
        <w:rPr>
          <w:rFonts w:cs="Arial"/>
          <w:lang w:val="en-GB"/>
        </w:rPr>
      </w:r>
      <w:r w:rsidR="00D83E1C">
        <w:rPr>
          <w:rFonts w:cs="Arial"/>
          <w:lang w:val="en-GB"/>
        </w:rPr>
        <w:fldChar w:fldCharType="separate"/>
      </w:r>
      <w:r w:rsidR="00D83E1C">
        <w:t xml:space="preserve">Table </w:t>
      </w:r>
      <w:r w:rsidR="00D83E1C">
        <w:rPr>
          <w:noProof/>
        </w:rPr>
        <w:t>3</w:t>
      </w:r>
      <w:r w:rsidR="00D83E1C">
        <w:rPr>
          <w:rFonts w:cs="Arial"/>
          <w:lang w:val="en-GB"/>
        </w:rPr>
        <w:fldChar w:fldCharType="end"/>
      </w:r>
      <w:r w:rsidR="00D83E1C">
        <w:rPr>
          <w:rFonts w:cs="Arial"/>
          <w:lang w:val="en-GB"/>
        </w:rPr>
        <w:t>.</w:t>
      </w:r>
    </w:p>
    <w:p w14:paraId="59D3D087" w14:textId="2F230B5D" w:rsidR="00FE2958" w:rsidRDefault="00FE2958" w:rsidP="0078686C">
      <w:pPr>
        <w:pStyle w:val="CETTabletitle"/>
      </w:pPr>
      <w:bookmarkStart w:id="2" w:name="_Ref179450691"/>
      <w:r>
        <w:t xml:space="preserve">Table </w:t>
      </w:r>
      <w:r>
        <w:fldChar w:fldCharType="begin"/>
      </w:r>
      <w:r>
        <w:instrText xml:space="preserve"> SEQ Table \* ARABIC </w:instrText>
      </w:r>
      <w:r>
        <w:fldChar w:fldCharType="separate"/>
      </w:r>
      <w:r w:rsidR="008B16E4">
        <w:rPr>
          <w:noProof/>
        </w:rPr>
        <w:t>3</w:t>
      </w:r>
      <w:r>
        <w:fldChar w:fldCharType="end"/>
      </w:r>
      <w:bookmarkEnd w:id="2"/>
      <w:r>
        <w:t xml:space="preserve"> </w:t>
      </w:r>
      <w:r w:rsidRPr="00215B51">
        <w:t>:</w:t>
      </w:r>
      <w:r>
        <w:t xml:space="preserve"> </w:t>
      </w:r>
      <w:r w:rsidRPr="00FE2958">
        <w:t>Province of Hessen model - FW runoff retention Volume R (m3)</w:t>
      </w:r>
    </w:p>
    <w:tbl>
      <w:tblPr>
        <w:tblW w:w="82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0"/>
        <w:gridCol w:w="1080"/>
        <w:gridCol w:w="4230"/>
      </w:tblGrid>
      <w:tr w:rsidR="00691690" w:rsidRPr="00B57B36" w14:paraId="4469C497" w14:textId="77777777" w:rsidTr="00647437">
        <w:tc>
          <w:tcPr>
            <w:tcW w:w="2970" w:type="dxa"/>
            <w:tcBorders>
              <w:top w:val="single" w:sz="12" w:space="0" w:color="008000"/>
              <w:bottom w:val="single" w:sz="6" w:space="0" w:color="008000"/>
            </w:tcBorders>
            <w:shd w:val="clear" w:color="auto" w:fill="FFFFFF"/>
          </w:tcPr>
          <w:p w14:paraId="7C1A3159" w14:textId="77777777" w:rsidR="00691690" w:rsidRPr="00B57B36" w:rsidRDefault="00691690" w:rsidP="00EC036F">
            <w:pPr>
              <w:pStyle w:val="CETBodytext"/>
              <w:jc w:val="left"/>
              <w:rPr>
                <w:lang w:val="en-GB"/>
              </w:rPr>
            </w:pPr>
            <w:r w:rsidRPr="00DA4954">
              <w:rPr>
                <w:lang w:val="en-GB"/>
              </w:rPr>
              <w:t xml:space="preserve">Area </w:t>
            </w:r>
          </w:p>
        </w:tc>
        <w:tc>
          <w:tcPr>
            <w:tcW w:w="1080" w:type="dxa"/>
            <w:tcBorders>
              <w:top w:val="single" w:sz="12" w:space="0" w:color="008000"/>
              <w:bottom w:val="single" w:sz="6" w:space="0" w:color="008000"/>
            </w:tcBorders>
            <w:shd w:val="clear" w:color="auto" w:fill="FFFFFF"/>
          </w:tcPr>
          <w:p w14:paraId="2ECA435F" w14:textId="2D37EC09" w:rsidR="00691690" w:rsidRPr="00B57B36" w:rsidRDefault="00691690" w:rsidP="008F726D">
            <w:pPr>
              <w:pStyle w:val="CETBodytext"/>
              <w:jc w:val="center"/>
              <w:rPr>
                <w:lang w:val="en-GB"/>
              </w:rPr>
            </w:pPr>
            <w:r>
              <w:rPr>
                <w:lang w:val="en-GB"/>
              </w:rPr>
              <w:t>A</w:t>
            </w:r>
            <w:r w:rsidR="00C20648">
              <w:rPr>
                <w:lang w:val="en-GB"/>
              </w:rPr>
              <w:t xml:space="preserve"> </w:t>
            </w:r>
            <w:r w:rsidR="00FB7412">
              <w:rPr>
                <w:lang w:val="en-GB"/>
              </w:rPr>
              <w:t>(</w:t>
            </w:r>
            <w:r>
              <w:rPr>
                <w:lang w:val="en-GB"/>
              </w:rPr>
              <w:t>m</w:t>
            </w:r>
            <w:r w:rsidRPr="009B053B">
              <w:rPr>
                <w:vertAlign w:val="superscript"/>
                <w:lang w:val="en-GB"/>
              </w:rPr>
              <w:t>2</w:t>
            </w:r>
            <w:r w:rsidR="00FB7412">
              <w:rPr>
                <w:lang w:val="en-GB"/>
              </w:rPr>
              <w:t>)</w:t>
            </w:r>
          </w:p>
        </w:tc>
        <w:tc>
          <w:tcPr>
            <w:tcW w:w="4230" w:type="dxa"/>
            <w:tcBorders>
              <w:top w:val="single" w:sz="12" w:space="0" w:color="008000"/>
              <w:bottom w:val="single" w:sz="6" w:space="0" w:color="008000"/>
            </w:tcBorders>
            <w:shd w:val="clear" w:color="auto" w:fill="FFFFFF"/>
          </w:tcPr>
          <w:p w14:paraId="337C58DC" w14:textId="688E1B3D" w:rsidR="00691690" w:rsidRPr="00514983" w:rsidRDefault="00691690" w:rsidP="008F726D">
            <w:pPr>
              <w:pStyle w:val="CETBodytext"/>
              <w:ind w:right="-1"/>
              <w:jc w:val="center"/>
              <w:rPr>
                <w:rFonts w:cs="Arial"/>
                <w:szCs w:val="18"/>
                <w:lang w:val="en-GB"/>
              </w:rPr>
            </w:pPr>
            <w:r w:rsidRPr="00514983">
              <w:rPr>
                <w:rFonts w:cs="Arial"/>
                <w:szCs w:val="18"/>
                <w:lang w:val="en-GB"/>
              </w:rPr>
              <w:t xml:space="preserve">FW Retention volume </w:t>
            </w:r>
            <w:r w:rsidR="00FB7412">
              <w:rPr>
                <w:rFonts w:cs="Arial"/>
                <w:szCs w:val="18"/>
                <w:lang w:val="en-GB"/>
              </w:rPr>
              <w:t>(</w:t>
            </w:r>
            <w:r w:rsidRPr="00514983">
              <w:rPr>
                <w:rFonts w:cs="Arial"/>
                <w:szCs w:val="18"/>
                <w:lang w:val="en-GB"/>
              </w:rPr>
              <w:t>m</w:t>
            </w:r>
            <w:r w:rsidRPr="00514983">
              <w:rPr>
                <w:rFonts w:cs="Arial"/>
                <w:szCs w:val="18"/>
                <w:vertAlign w:val="superscript"/>
                <w:lang w:val="en-GB"/>
              </w:rPr>
              <w:t>3</w:t>
            </w:r>
            <w:r w:rsidR="00FB7412">
              <w:rPr>
                <w:rFonts w:cs="Arial"/>
                <w:szCs w:val="18"/>
                <w:lang w:val="en-GB"/>
              </w:rPr>
              <w:t>)</w:t>
            </w:r>
          </w:p>
        </w:tc>
      </w:tr>
      <w:tr w:rsidR="00691690" w:rsidRPr="00B57B36" w14:paraId="23F4843D" w14:textId="77777777" w:rsidTr="00647437">
        <w:trPr>
          <w:trHeight w:val="651"/>
        </w:trPr>
        <w:tc>
          <w:tcPr>
            <w:tcW w:w="2970" w:type="dxa"/>
            <w:shd w:val="clear" w:color="auto" w:fill="FFFFFF"/>
            <w:vAlign w:val="center"/>
          </w:tcPr>
          <w:p w14:paraId="28A7B870" w14:textId="77777777" w:rsidR="00691690" w:rsidRPr="00CC3CEA" w:rsidRDefault="00691690" w:rsidP="00EC036F">
            <w:pPr>
              <w:pStyle w:val="CETBodytext"/>
              <w:jc w:val="left"/>
              <w:rPr>
                <w:szCs w:val="18"/>
                <w:lang w:val="en-GB"/>
              </w:rPr>
            </w:pPr>
            <w:r w:rsidRPr="00CC3CEA">
              <w:rPr>
                <w:rFonts w:cs="Arial"/>
                <w:szCs w:val="18"/>
              </w:rPr>
              <w:t>FA-7 curbed area surface</w:t>
            </w:r>
          </w:p>
        </w:tc>
        <w:tc>
          <w:tcPr>
            <w:tcW w:w="1080" w:type="dxa"/>
            <w:shd w:val="clear" w:color="auto" w:fill="FFFFFF"/>
            <w:vAlign w:val="center"/>
          </w:tcPr>
          <w:p w14:paraId="455B6386" w14:textId="0F2587BD" w:rsidR="00691690" w:rsidRPr="00CC3CEA" w:rsidRDefault="00691690" w:rsidP="008F726D">
            <w:pPr>
              <w:pStyle w:val="CETBodytext"/>
              <w:jc w:val="center"/>
              <w:rPr>
                <w:szCs w:val="18"/>
                <w:lang w:val="en-GB"/>
              </w:rPr>
            </w:pPr>
            <w:r w:rsidRPr="00CC3CEA">
              <w:rPr>
                <w:rFonts w:cs="Arial"/>
                <w:szCs w:val="18"/>
              </w:rPr>
              <w:t>7</w:t>
            </w:r>
            <w:r w:rsidR="004F208D">
              <w:rPr>
                <w:rFonts w:cs="Arial"/>
                <w:szCs w:val="18"/>
              </w:rPr>
              <w:t>,</w:t>
            </w:r>
            <w:r w:rsidRPr="00CC3CEA">
              <w:rPr>
                <w:rFonts w:cs="Arial"/>
                <w:szCs w:val="18"/>
              </w:rPr>
              <w:t>150</w:t>
            </w:r>
          </w:p>
        </w:tc>
        <w:tc>
          <w:tcPr>
            <w:tcW w:w="4230" w:type="dxa"/>
            <w:shd w:val="clear" w:color="auto" w:fill="FFFFFF"/>
            <w:vAlign w:val="center"/>
          </w:tcPr>
          <w:p w14:paraId="67904002" w14:textId="62A8D5C1" w:rsidR="00691690" w:rsidRPr="00514983" w:rsidRDefault="00CC6DED" w:rsidP="008F726D">
            <w:pPr>
              <w:pStyle w:val="CETBodytext"/>
              <w:ind w:right="-1"/>
              <w:jc w:val="center"/>
              <w:rPr>
                <w:rFonts w:cs="Arial"/>
                <w:szCs w:val="18"/>
                <w:lang w:val="en-GB"/>
              </w:rPr>
            </w:pPr>
            <w:r>
              <w:rPr>
                <w:rFonts w:cs="Arial"/>
                <w:szCs w:val="18"/>
                <w:lang w:val="en-GB"/>
              </w:rPr>
              <w:t>1</w:t>
            </w:r>
            <w:r w:rsidR="004F208D">
              <w:rPr>
                <w:rFonts w:cs="Arial"/>
                <w:szCs w:val="18"/>
                <w:lang w:val="en-GB"/>
              </w:rPr>
              <w:t>,</w:t>
            </w:r>
            <w:r>
              <w:rPr>
                <w:rFonts w:cs="Arial"/>
                <w:szCs w:val="18"/>
                <w:lang w:val="en-GB"/>
              </w:rPr>
              <w:t>287</w:t>
            </w:r>
          </w:p>
        </w:tc>
      </w:tr>
      <w:tr w:rsidR="00691690" w:rsidRPr="00B57B36" w14:paraId="6C73EEBF" w14:textId="77777777" w:rsidTr="00647437">
        <w:tc>
          <w:tcPr>
            <w:tcW w:w="2970" w:type="dxa"/>
            <w:shd w:val="clear" w:color="auto" w:fill="FFFFFF"/>
          </w:tcPr>
          <w:p w14:paraId="7681E722" w14:textId="77777777" w:rsidR="00691690" w:rsidRDefault="00691690" w:rsidP="00EC036F">
            <w:pPr>
              <w:pStyle w:val="CETBodytext"/>
              <w:ind w:right="-1"/>
              <w:jc w:val="left"/>
              <w:rPr>
                <w:rFonts w:cs="Arial"/>
                <w:szCs w:val="18"/>
              </w:rPr>
            </w:pPr>
            <w:r w:rsidRPr="00CC3CEA">
              <w:rPr>
                <w:rFonts w:cs="Arial"/>
                <w:szCs w:val="18"/>
              </w:rPr>
              <w:t xml:space="preserve">Equipment </w:t>
            </w:r>
          </w:p>
          <w:p w14:paraId="708CEE6C" w14:textId="77777777" w:rsidR="00691690" w:rsidRPr="00CC3CEA" w:rsidRDefault="00691690" w:rsidP="00EC036F">
            <w:pPr>
              <w:pStyle w:val="CETBodytext"/>
              <w:ind w:right="-1"/>
              <w:jc w:val="left"/>
              <w:rPr>
                <w:rFonts w:cs="Arial"/>
                <w:szCs w:val="18"/>
                <w:lang w:val="en-GB"/>
              </w:rPr>
            </w:pPr>
            <w:r w:rsidRPr="00CC3CEA">
              <w:rPr>
                <w:rFonts w:cs="Arial"/>
                <w:szCs w:val="18"/>
              </w:rPr>
              <w:t>surface in FA-7</w:t>
            </w:r>
          </w:p>
        </w:tc>
        <w:tc>
          <w:tcPr>
            <w:tcW w:w="1080" w:type="dxa"/>
            <w:shd w:val="clear" w:color="auto" w:fill="FFFFFF"/>
            <w:vAlign w:val="center"/>
          </w:tcPr>
          <w:p w14:paraId="69A394CD" w14:textId="2DD5158F" w:rsidR="00691690" w:rsidRPr="00CC3CEA" w:rsidRDefault="00691690" w:rsidP="008F726D">
            <w:pPr>
              <w:pStyle w:val="CETBodytext"/>
              <w:ind w:right="-1"/>
              <w:jc w:val="center"/>
              <w:rPr>
                <w:rFonts w:cs="Arial"/>
                <w:szCs w:val="18"/>
                <w:lang w:val="en-GB"/>
              </w:rPr>
            </w:pPr>
            <w:r w:rsidRPr="00CC3CEA">
              <w:rPr>
                <w:rFonts w:cs="Arial"/>
                <w:szCs w:val="18"/>
                <w:lang w:val="en-GB"/>
              </w:rPr>
              <w:t>4</w:t>
            </w:r>
            <w:r w:rsidR="004F208D">
              <w:rPr>
                <w:rFonts w:cs="Arial"/>
                <w:szCs w:val="18"/>
                <w:lang w:val="en-GB"/>
              </w:rPr>
              <w:t>,</w:t>
            </w:r>
            <w:r w:rsidRPr="00CC3CEA">
              <w:rPr>
                <w:rFonts w:cs="Arial"/>
                <w:szCs w:val="18"/>
                <w:lang w:val="en-GB"/>
              </w:rPr>
              <w:t>355</w:t>
            </w:r>
          </w:p>
        </w:tc>
        <w:tc>
          <w:tcPr>
            <w:tcW w:w="4230" w:type="dxa"/>
            <w:shd w:val="clear" w:color="auto" w:fill="FFFFFF"/>
            <w:vAlign w:val="center"/>
          </w:tcPr>
          <w:p w14:paraId="32D6908B" w14:textId="13CADCC9" w:rsidR="00691690" w:rsidRPr="00514983" w:rsidRDefault="00CC6DED" w:rsidP="008F726D">
            <w:pPr>
              <w:pStyle w:val="CETBodytext"/>
              <w:ind w:right="-1"/>
              <w:jc w:val="center"/>
              <w:rPr>
                <w:rFonts w:cs="Arial"/>
                <w:szCs w:val="18"/>
                <w:lang w:val="en-GB"/>
              </w:rPr>
            </w:pPr>
            <w:r>
              <w:rPr>
                <w:rFonts w:cs="Arial"/>
                <w:szCs w:val="18"/>
                <w:lang w:val="en-GB"/>
              </w:rPr>
              <w:t>784</w:t>
            </w:r>
          </w:p>
        </w:tc>
      </w:tr>
    </w:tbl>
    <w:p w14:paraId="3CF431D6" w14:textId="2433B207" w:rsidR="00B701FD" w:rsidRPr="00627C58" w:rsidRDefault="00B701FD" w:rsidP="0078686C">
      <w:pPr>
        <w:pStyle w:val="CETheadingx"/>
      </w:pPr>
      <w:r w:rsidRPr="00627C58">
        <w:t>Burning rate model</w:t>
      </w:r>
    </w:p>
    <w:p w14:paraId="7F28C697" w14:textId="738B1B48" w:rsidR="00B701FD" w:rsidRPr="0078686C" w:rsidRDefault="00E87C7E" w:rsidP="0078686C">
      <w:pPr>
        <w:pStyle w:val="CETBodytext"/>
        <w:rPr>
          <w:lang w:val="en-GB"/>
        </w:rPr>
      </w:pPr>
      <w:r w:rsidRPr="0078686C">
        <w:rPr>
          <w:lang w:val="en-GB"/>
        </w:rPr>
        <w:t xml:space="preserve">This model </w:t>
      </w:r>
      <w:r>
        <w:rPr>
          <w:rFonts w:cs="Arial"/>
        </w:rPr>
        <w:t>is based on</w:t>
      </w:r>
      <w:r w:rsidRPr="00627C58">
        <w:rPr>
          <w:rFonts w:cs="Arial"/>
        </w:rPr>
        <w:t xml:space="preserve"> the burning velocity of discharged substance</w:t>
      </w:r>
      <w:r>
        <w:rPr>
          <w:rFonts w:cs="Arial"/>
        </w:rPr>
        <w:t xml:space="preserve"> that is contributing to the fire.</w:t>
      </w:r>
      <w:r w:rsidR="00AC16A7">
        <w:rPr>
          <w:rFonts w:cs="Arial"/>
        </w:rPr>
        <w:t xml:space="preserve"> </w:t>
      </w:r>
      <w:r w:rsidR="00B701FD" w:rsidRPr="0078686C">
        <w:rPr>
          <w:lang w:val="en-GB"/>
        </w:rPr>
        <w:t xml:space="preserve">The estimation of actual contaminated firewater volume is </w:t>
      </w:r>
      <w:r w:rsidRPr="0078686C">
        <w:rPr>
          <w:lang w:val="en-GB"/>
        </w:rPr>
        <w:t>determined by</w:t>
      </w:r>
      <w:r w:rsidR="00B701FD" w:rsidRPr="0078686C">
        <w:rPr>
          <w:lang w:val="en-GB"/>
        </w:rPr>
        <w:t xml:space="preserve"> the following equation, generally applicable to all the considered fire scenarios </w:t>
      </w:r>
      <w:r w:rsidR="00FB7412" w:rsidRPr="0078686C">
        <w:rPr>
          <w:lang w:val="en-GB"/>
        </w:rPr>
        <w:t>(</w:t>
      </w:r>
      <w:r w:rsidR="00274961" w:rsidRPr="0078686C">
        <w:rPr>
          <w:lang w:val="en-GB"/>
        </w:rPr>
        <w:t>Rigolio, 2010</w:t>
      </w:r>
      <w:r w:rsidR="00FB7412" w:rsidRPr="0078686C">
        <w:rPr>
          <w:lang w:val="en-GB"/>
        </w:rPr>
        <w:t>)</w:t>
      </w:r>
      <w:r w:rsidR="00B701FD" w:rsidRPr="0078686C">
        <w:rPr>
          <w:lang w:val="en-GB"/>
        </w:rPr>
        <w:t>.</w:t>
      </w:r>
    </w:p>
    <w:tbl>
      <w:tblPr>
        <w:tblW w:w="5000" w:type="pct"/>
        <w:tblLook w:val="04A0" w:firstRow="1" w:lastRow="0" w:firstColumn="1" w:lastColumn="0" w:noHBand="0" w:noVBand="1"/>
      </w:tblPr>
      <w:tblGrid>
        <w:gridCol w:w="7959"/>
        <w:gridCol w:w="828"/>
      </w:tblGrid>
      <w:tr w:rsidR="00C867FC" w:rsidRPr="004B798B" w14:paraId="4BE10571" w14:textId="77777777" w:rsidTr="00EC036F">
        <w:tc>
          <w:tcPr>
            <w:tcW w:w="7500" w:type="dxa"/>
            <w:shd w:val="clear" w:color="auto" w:fill="auto"/>
            <w:vAlign w:val="center"/>
          </w:tcPr>
          <w:p w14:paraId="505FD298" w14:textId="09AD9B5B" w:rsidR="00C867FC" w:rsidRPr="005D5E2B" w:rsidRDefault="00C867FC" w:rsidP="00EC036F">
            <w:pPr>
              <w:pStyle w:val="CETEquation"/>
              <w:jc w:val="center"/>
              <w:rPr>
                <w:rFonts w:ascii="Cambria Math" w:hAnsi="Cambria Math" w:cs="Arial"/>
                <w:oMath/>
              </w:rPr>
            </w:pPr>
            <m:oMathPara>
              <m:oMath>
                <m:r>
                  <w:rPr>
                    <w:rFonts w:ascii="Cambria Math" w:hAnsi="Cambria Math" w:cs="Arial"/>
                  </w:rPr>
                  <m:t xml:space="preserve">R </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m:t>
                </m:r>
                <m:sSub>
                  <m:sSubPr>
                    <m:ctrlPr>
                      <w:rPr>
                        <w:rFonts w:ascii="Cambria Math" w:hAnsi="Cambria Math" w:cs="Arial"/>
                        <w:i/>
                        <w:iCs/>
                      </w:rPr>
                    </m:ctrlPr>
                  </m:sSubPr>
                  <m:e>
                    <m:sSub>
                      <m:sSubPr>
                        <m:ctrlPr>
                          <w:rPr>
                            <w:rFonts w:ascii="Cambria Math" w:hAnsi="Cambria Math" w:cs="Arial"/>
                            <w:i/>
                          </w:rPr>
                        </m:ctrlPr>
                      </m:sSubPr>
                      <m:e>
                        <m:r>
                          <w:rPr>
                            <w:rFonts w:ascii="Cambria Math" w:hAnsi="Cambria Math" w:cs="Arial"/>
                          </w:rPr>
                          <m:t>Q</m:t>
                        </m:r>
                      </m:e>
                      <m:sub>
                        <m:r>
                          <w:rPr>
                            <w:rFonts w:ascii="Cambria Math" w:hAnsi="Cambria Math" w:cs="Arial"/>
                          </w:rPr>
                          <m:t>FW</m:t>
                        </m:r>
                      </m:sub>
                    </m:sSub>
                    <m:r>
                      <w:rPr>
                        <w:rFonts w:ascii="Cambria Math" w:hAnsi="Cambria Math" w:cs="Arial"/>
                      </w:rPr>
                      <m:t xml:space="preserve"> </m:t>
                    </m:r>
                    <m:r>
                      <m:rPr>
                        <m:sty m:val="p"/>
                      </m:rPr>
                      <w:rPr>
                        <w:rFonts w:ascii="Cambria Math" w:hAnsi="Cambria Math" w:cs="Arial"/>
                      </w:rPr>
                      <m:t>∙</m:t>
                    </m:r>
                    <m:r>
                      <w:rPr>
                        <w:rFonts w:ascii="Cambria Math" w:hAnsi="Cambria Math" w:cs="Arial"/>
                      </w:rPr>
                      <m:t xml:space="preserve"> t</m:t>
                    </m:r>
                  </m:e>
                  <m:sub>
                    <m:r>
                      <w:rPr>
                        <w:rFonts w:ascii="Cambria Math" w:hAnsi="Cambria Math" w:cs="Arial"/>
                      </w:rPr>
                      <m:t>f</m:t>
                    </m:r>
                  </m:sub>
                </m:sSub>
                <m:r>
                  <m:rPr>
                    <m:sty m:val="p"/>
                  </m:rPr>
                  <w:rPr>
                    <w:rFonts w:ascii="Cambria Math" w:hAnsi="Cambria Math" w:cs="Arial"/>
                  </w:rPr>
                  <m:t>∙K</m:t>
                </m:r>
              </m:oMath>
            </m:oMathPara>
          </w:p>
        </w:tc>
        <w:tc>
          <w:tcPr>
            <w:tcW w:w="780" w:type="dxa"/>
            <w:shd w:val="clear" w:color="auto" w:fill="auto"/>
            <w:vAlign w:val="center"/>
          </w:tcPr>
          <w:p w14:paraId="071F03CA" w14:textId="67AC1A02" w:rsidR="00C867FC" w:rsidRPr="005D5E2B" w:rsidRDefault="00C867FC" w:rsidP="00EC036F">
            <w:pPr>
              <w:pStyle w:val="CETEquation"/>
              <w:rPr>
                <w:rFonts w:cs="Arial"/>
              </w:rPr>
            </w:pPr>
            <w:r w:rsidRPr="005D5E2B">
              <w:rPr>
                <w:rFonts w:cs="Arial"/>
              </w:rPr>
              <w:t>(</w:t>
            </w:r>
            <w:r w:rsidR="005218C6">
              <w:rPr>
                <w:rFonts w:cs="Arial"/>
              </w:rPr>
              <w:t>6</w:t>
            </w:r>
            <w:r w:rsidRPr="005D5E2B">
              <w:rPr>
                <w:rFonts w:cs="Arial"/>
              </w:rPr>
              <w:t>)</w:t>
            </w:r>
          </w:p>
        </w:tc>
      </w:tr>
    </w:tbl>
    <w:p w14:paraId="1680130E" w14:textId="10D2AE42" w:rsidR="00326CA0" w:rsidRPr="0078686C" w:rsidRDefault="00326CA0" w:rsidP="0078686C">
      <w:pPr>
        <w:pStyle w:val="CETBodytext"/>
        <w:rPr>
          <w:lang w:val="en-GB"/>
        </w:rPr>
      </w:pPr>
      <w:r w:rsidRPr="0078686C">
        <w:rPr>
          <w:lang w:val="en-GB"/>
        </w:rPr>
        <w:t xml:space="preserve">The "burning rate formula" considers a single release at time from a single equipment. Due to the nature of a </w:t>
      </w:r>
      <w:r w:rsidR="000975D0" w:rsidRPr="0078686C">
        <w:rPr>
          <w:lang w:val="en-GB"/>
        </w:rPr>
        <w:t>large</w:t>
      </w:r>
      <w:r w:rsidRPr="0078686C">
        <w:rPr>
          <w:lang w:val="en-GB"/>
        </w:rPr>
        <w:t xml:space="preserve"> fire that can impact more equipment resulting in release </w:t>
      </w:r>
      <w:r w:rsidRPr="00627C58">
        <w:rPr>
          <w:rFonts w:cs="Arial"/>
          <w:lang w:val="en-GB"/>
        </w:rPr>
        <w:t>from</w:t>
      </w:r>
      <w:r w:rsidRPr="0078686C">
        <w:rPr>
          <w:lang w:val="en-GB"/>
        </w:rPr>
        <w:t xml:space="preserve"> various equipment the overall liquid hold-up present in the FA-7 has been conservatively considered. Because of the </w:t>
      </w:r>
      <w:r w:rsidRPr="00627C58">
        <w:rPr>
          <w:rFonts w:cs="Arial"/>
          <w:lang w:val="en-GB"/>
        </w:rPr>
        <w:t>non-linearity</w:t>
      </w:r>
      <w:r w:rsidRPr="0078686C">
        <w:rPr>
          <w:lang w:val="en-GB"/>
        </w:rPr>
        <w:t xml:space="preserve"> of the formula used for calculation of h</w:t>
      </w:r>
      <w:r w:rsidR="00B814E3" w:rsidRPr="0078686C">
        <w:rPr>
          <w:lang w:val="en-GB"/>
        </w:rPr>
        <w:t>eight of liquid pool (h)</w:t>
      </w:r>
      <w:r w:rsidRPr="0078686C">
        <w:rPr>
          <w:lang w:val="en-GB"/>
        </w:rPr>
        <w:t>, it was chosen to calculate the duration of fire scenario for the equipment with the largest liquid hold-up on FA-7 (C-202).</w:t>
      </w:r>
    </w:p>
    <w:p w14:paraId="47409690" w14:textId="7D73D34B" w:rsidR="00013B3C" w:rsidRDefault="00013B3C" w:rsidP="0078686C">
      <w:pPr>
        <w:pStyle w:val="CETTabletitle"/>
      </w:pPr>
      <w:r>
        <w:t xml:space="preserve">Table </w:t>
      </w:r>
      <w:r>
        <w:fldChar w:fldCharType="begin"/>
      </w:r>
      <w:r>
        <w:instrText xml:space="preserve"> SEQ Table \* ARABIC </w:instrText>
      </w:r>
      <w:r>
        <w:fldChar w:fldCharType="separate"/>
      </w:r>
      <w:r w:rsidR="008B16E4">
        <w:rPr>
          <w:noProof/>
        </w:rPr>
        <w:t>4</w:t>
      </w:r>
      <w:r>
        <w:fldChar w:fldCharType="end"/>
      </w:r>
      <w:r>
        <w:t xml:space="preserve">: </w:t>
      </w:r>
      <w:r w:rsidRPr="00013B3C">
        <w:t>Burning rate model input data</w:t>
      </w:r>
    </w:p>
    <w:tbl>
      <w:tblPr>
        <w:tblW w:w="8280" w:type="dxa"/>
        <w:tblBorders>
          <w:top w:val="single" w:sz="12" w:space="0" w:color="008000"/>
          <w:bottom w:val="single" w:sz="12" w:space="0" w:color="008000"/>
          <w:insideH w:val="single" w:sz="12" w:space="0" w:color="008000"/>
        </w:tblBorders>
        <w:shd w:val="clear" w:color="auto" w:fill="FFFFFF"/>
        <w:tblCellMar>
          <w:left w:w="0" w:type="dxa"/>
          <w:right w:w="0" w:type="dxa"/>
        </w:tblCellMar>
        <w:tblLook w:val="00A0" w:firstRow="1" w:lastRow="0" w:firstColumn="1" w:lastColumn="0" w:noHBand="0" w:noVBand="0"/>
      </w:tblPr>
      <w:tblGrid>
        <w:gridCol w:w="2700"/>
        <w:gridCol w:w="1751"/>
        <w:gridCol w:w="1869"/>
        <w:gridCol w:w="1960"/>
      </w:tblGrid>
      <w:tr w:rsidR="00511D4D" w:rsidRPr="00B57B36" w14:paraId="25CE1100" w14:textId="140FDBDA" w:rsidTr="00545471">
        <w:tc>
          <w:tcPr>
            <w:tcW w:w="2700" w:type="dxa"/>
            <w:tcBorders>
              <w:bottom w:val="single" w:sz="8" w:space="0" w:color="008000"/>
            </w:tcBorders>
            <w:shd w:val="clear" w:color="auto" w:fill="FFFFFF"/>
          </w:tcPr>
          <w:p w14:paraId="6E435192" w14:textId="74EFCAD8" w:rsidR="00511D4D" w:rsidRDefault="00511D4D" w:rsidP="00545471">
            <w:pPr>
              <w:pStyle w:val="CETBodytext"/>
              <w:jc w:val="left"/>
              <w:rPr>
                <w:lang w:val="en-GB"/>
              </w:rPr>
            </w:pPr>
            <w:r>
              <w:rPr>
                <w:lang w:val="en-GB"/>
              </w:rPr>
              <w:t>Liquid hold-up Volume of C-202</w:t>
            </w:r>
          </w:p>
          <w:p w14:paraId="0DEF5EB9" w14:textId="08B2FF1C" w:rsidR="00511D4D" w:rsidRPr="00B57B36" w:rsidRDefault="00FB7412" w:rsidP="00545471">
            <w:pPr>
              <w:pStyle w:val="CETBodytext"/>
              <w:jc w:val="left"/>
              <w:rPr>
                <w:lang w:val="en-GB"/>
              </w:rPr>
            </w:pPr>
            <w:r>
              <w:rPr>
                <w:lang w:val="en-GB"/>
              </w:rPr>
              <w:t>(</w:t>
            </w:r>
            <w:r w:rsidR="00511D4D">
              <w:rPr>
                <w:lang w:val="en-GB"/>
              </w:rPr>
              <w:t>m</w:t>
            </w:r>
            <w:r w:rsidR="00511D4D" w:rsidRPr="00511D4D">
              <w:rPr>
                <w:vertAlign w:val="superscript"/>
                <w:lang w:val="en-GB"/>
              </w:rPr>
              <w:t>3</w:t>
            </w:r>
            <w:r>
              <w:rPr>
                <w:lang w:val="en-GB"/>
              </w:rPr>
              <w:t>)</w:t>
            </w:r>
          </w:p>
        </w:tc>
        <w:tc>
          <w:tcPr>
            <w:tcW w:w="1751" w:type="dxa"/>
            <w:tcBorders>
              <w:bottom w:val="single" w:sz="8" w:space="0" w:color="008000"/>
            </w:tcBorders>
            <w:shd w:val="clear" w:color="auto" w:fill="FFFFFF"/>
          </w:tcPr>
          <w:p w14:paraId="4C81443B" w14:textId="77777777" w:rsidR="00511D4D" w:rsidRPr="00511D4D" w:rsidRDefault="00511D4D" w:rsidP="00545471">
            <w:pPr>
              <w:pStyle w:val="CETBodytext"/>
              <w:jc w:val="left"/>
              <w:rPr>
                <w:lang w:val="en-GB"/>
              </w:rPr>
            </w:pPr>
            <w:r w:rsidRPr="00511D4D">
              <w:rPr>
                <w:lang w:val="en-GB"/>
              </w:rPr>
              <w:t>V</w:t>
            </w:r>
            <w:r w:rsidRPr="00511D4D">
              <w:rPr>
                <w:vertAlign w:val="subscript"/>
                <w:lang w:val="en-GB"/>
              </w:rPr>
              <w:t>b</w:t>
            </w:r>
            <w:r w:rsidRPr="00511D4D">
              <w:rPr>
                <w:lang w:val="en-GB"/>
              </w:rPr>
              <w:t xml:space="preserve"> Burning Rate</w:t>
            </w:r>
          </w:p>
          <w:p w14:paraId="4351FF77" w14:textId="31167752" w:rsidR="00511D4D" w:rsidRPr="00B57B36" w:rsidRDefault="00FB7412" w:rsidP="00545471">
            <w:pPr>
              <w:pStyle w:val="CETBodytext"/>
              <w:jc w:val="left"/>
              <w:rPr>
                <w:lang w:val="en-GB"/>
              </w:rPr>
            </w:pPr>
            <w:r>
              <w:rPr>
                <w:lang w:val="en-GB"/>
              </w:rPr>
              <w:t>(</w:t>
            </w:r>
            <w:r w:rsidR="00511D4D" w:rsidRPr="00511D4D">
              <w:rPr>
                <w:lang w:val="en-GB"/>
              </w:rPr>
              <w:t>m/s</w:t>
            </w:r>
            <w:r>
              <w:rPr>
                <w:lang w:val="en-GB"/>
              </w:rPr>
              <w:t>)</w:t>
            </w:r>
          </w:p>
        </w:tc>
        <w:tc>
          <w:tcPr>
            <w:tcW w:w="1869" w:type="dxa"/>
            <w:tcBorders>
              <w:bottom w:val="single" w:sz="8" w:space="0" w:color="008000"/>
            </w:tcBorders>
            <w:shd w:val="clear" w:color="auto" w:fill="FFFFFF"/>
          </w:tcPr>
          <w:p w14:paraId="3BC23DEA" w14:textId="135C8D30" w:rsidR="00511D4D" w:rsidRPr="00514983" w:rsidRDefault="00511D4D" w:rsidP="00545471">
            <w:pPr>
              <w:pStyle w:val="CETBodytext"/>
              <w:ind w:right="-1"/>
              <w:jc w:val="left"/>
              <w:rPr>
                <w:rFonts w:cs="Arial"/>
                <w:szCs w:val="18"/>
                <w:lang w:val="en-GB"/>
              </w:rPr>
            </w:pPr>
            <w:r w:rsidRPr="00511D4D">
              <w:rPr>
                <w:rFonts w:cs="Arial"/>
                <w:szCs w:val="18"/>
                <w:lang w:val="en-GB"/>
              </w:rPr>
              <w:t xml:space="preserve">h - </w:t>
            </w:r>
            <w:r w:rsidR="00C20648">
              <w:rPr>
                <w:rFonts w:cs="Arial"/>
                <w:szCs w:val="18"/>
                <w:lang w:val="en-GB"/>
              </w:rPr>
              <w:t>h</w:t>
            </w:r>
            <w:r w:rsidRPr="00511D4D">
              <w:rPr>
                <w:rFonts w:cs="Arial"/>
                <w:szCs w:val="18"/>
                <w:lang w:val="en-GB"/>
              </w:rPr>
              <w:t xml:space="preserve">eight of liquid pool </w:t>
            </w:r>
            <w:r w:rsidR="00FB7412">
              <w:rPr>
                <w:rFonts w:cs="Arial"/>
                <w:szCs w:val="18"/>
                <w:lang w:val="en-GB"/>
              </w:rPr>
              <w:t>(</w:t>
            </w:r>
            <w:r w:rsidRPr="00511D4D">
              <w:rPr>
                <w:rFonts w:cs="Arial"/>
                <w:szCs w:val="18"/>
                <w:lang w:val="en-GB"/>
              </w:rPr>
              <w:t>m</w:t>
            </w:r>
            <w:r w:rsidR="00FB7412">
              <w:rPr>
                <w:rFonts w:cs="Arial"/>
                <w:szCs w:val="18"/>
                <w:lang w:val="en-GB"/>
              </w:rPr>
              <w:t>)</w:t>
            </w:r>
          </w:p>
        </w:tc>
        <w:tc>
          <w:tcPr>
            <w:tcW w:w="1960" w:type="dxa"/>
            <w:tcBorders>
              <w:bottom w:val="single" w:sz="8" w:space="0" w:color="008000"/>
            </w:tcBorders>
            <w:shd w:val="clear" w:color="auto" w:fill="FFFFFF"/>
          </w:tcPr>
          <w:p w14:paraId="3F71EB93" w14:textId="2AED99CD" w:rsidR="00511D4D" w:rsidRPr="00514983" w:rsidRDefault="00511D4D" w:rsidP="00545471">
            <w:pPr>
              <w:pStyle w:val="CETBodytext"/>
              <w:ind w:right="-1"/>
              <w:jc w:val="left"/>
              <w:rPr>
                <w:rFonts w:cs="Arial"/>
                <w:szCs w:val="18"/>
                <w:lang w:val="en-GB"/>
              </w:rPr>
            </w:pPr>
            <w:r w:rsidRPr="00511D4D">
              <w:rPr>
                <w:rFonts w:cs="Arial"/>
                <w:szCs w:val="18"/>
                <w:lang w:val="en-GB"/>
              </w:rPr>
              <w:t>t</w:t>
            </w:r>
            <w:r w:rsidRPr="00511D4D">
              <w:rPr>
                <w:rFonts w:cs="Arial"/>
                <w:szCs w:val="18"/>
                <w:vertAlign w:val="subscript"/>
                <w:lang w:val="en-GB"/>
              </w:rPr>
              <w:t xml:space="preserve">f </w:t>
            </w:r>
            <w:r w:rsidRPr="00511D4D">
              <w:rPr>
                <w:rFonts w:cs="Arial"/>
                <w:szCs w:val="18"/>
                <w:lang w:val="en-GB"/>
              </w:rPr>
              <w:t>- Duration of fire scenario (h)</w:t>
            </w:r>
          </w:p>
        </w:tc>
      </w:tr>
      <w:tr w:rsidR="00511D4D" w:rsidRPr="00B57B36" w14:paraId="2B51B9B5" w14:textId="2D807A49" w:rsidTr="00545471">
        <w:trPr>
          <w:trHeight w:val="651"/>
        </w:trPr>
        <w:tc>
          <w:tcPr>
            <w:tcW w:w="2700" w:type="dxa"/>
            <w:tcBorders>
              <w:top w:val="single" w:sz="8" w:space="0" w:color="008000"/>
            </w:tcBorders>
            <w:shd w:val="clear" w:color="auto" w:fill="FFFFFF"/>
            <w:vAlign w:val="center"/>
          </w:tcPr>
          <w:p w14:paraId="6D6F026A" w14:textId="1B32A2B3" w:rsidR="00511D4D" w:rsidRPr="00CC3CEA" w:rsidRDefault="00511D4D" w:rsidP="00545471">
            <w:pPr>
              <w:pStyle w:val="CETBodytext"/>
              <w:jc w:val="left"/>
              <w:rPr>
                <w:szCs w:val="18"/>
                <w:lang w:val="en-GB"/>
              </w:rPr>
            </w:pPr>
            <w:r>
              <w:rPr>
                <w:rFonts w:cs="Arial"/>
                <w:szCs w:val="18"/>
              </w:rPr>
              <w:t>250</w:t>
            </w:r>
          </w:p>
        </w:tc>
        <w:tc>
          <w:tcPr>
            <w:tcW w:w="1751" w:type="dxa"/>
            <w:tcBorders>
              <w:top w:val="single" w:sz="8" w:space="0" w:color="008000"/>
            </w:tcBorders>
            <w:shd w:val="clear" w:color="auto" w:fill="FFFFFF"/>
            <w:vAlign w:val="center"/>
          </w:tcPr>
          <w:p w14:paraId="56BC9F68" w14:textId="1A887AF3" w:rsidR="00511D4D" w:rsidRPr="00CC3CEA" w:rsidRDefault="00DC60D7" w:rsidP="00545471">
            <w:pPr>
              <w:pStyle w:val="CETBodytext"/>
              <w:jc w:val="left"/>
              <w:rPr>
                <w:szCs w:val="18"/>
                <w:lang w:val="en-GB"/>
              </w:rPr>
            </w:pPr>
            <w:r w:rsidRPr="007202A6">
              <w:rPr>
                <w:rFonts w:cs="Arial"/>
                <w:szCs w:val="18"/>
              </w:rPr>
              <w:t>6.49E-05</w:t>
            </w:r>
          </w:p>
        </w:tc>
        <w:tc>
          <w:tcPr>
            <w:tcW w:w="1869" w:type="dxa"/>
            <w:tcBorders>
              <w:top w:val="single" w:sz="8" w:space="0" w:color="008000"/>
            </w:tcBorders>
            <w:shd w:val="clear" w:color="auto" w:fill="FFFFFF"/>
            <w:vAlign w:val="center"/>
          </w:tcPr>
          <w:p w14:paraId="1D3C3F36" w14:textId="15ED26E3" w:rsidR="00511D4D" w:rsidRPr="00514983" w:rsidRDefault="00DC60D7" w:rsidP="00545471">
            <w:pPr>
              <w:pStyle w:val="CETBodytext"/>
              <w:ind w:right="-1"/>
              <w:jc w:val="left"/>
              <w:rPr>
                <w:rFonts w:cs="Arial"/>
                <w:szCs w:val="18"/>
                <w:lang w:val="en-GB"/>
              </w:rPr>
            </w:pPr>
            <w:r>
              <w:rPr>
                <w:rFonts w:cs="Arial"/>
                <w:szCs w:val="18"/>
                <w:lang w:val="en-GB"/>
              </w:rPr>
              <w:t>0.012</w:t>
            </w:r>
          </w:p>
        </w:tc>
        <w:tc>
          <w:tcPr>
            <w:tcW w:w="1960" w:type="dxa"/>
            <w:tcBorders>
              <w:top w:val="single" w:sz="8" w:space="0" w:color="008000"/>
            </w:tcBorders>
            <w:shd w:val="clear" w:color="auto" w:fill="FFFFFF"/>
            <w:vAlign w:val="center"/>
          </w:tcPr>
          <w:p w14:paraId="34DFFDCA" w14:textId="5C424221" w:rsidR="00511D4D" w:rsidRDefault="00511D4D" w:rsidP="00545471">
            <w:pPr>
              <w:pStyle w:val="CETBodytext"/>
              <w:ind w:right="-1"/>
              <w:jc w:val="left"/>
              <w:rPr>
                <w:rFonts w:cs="Arial"/>
                <w:szCs w:val="18"/>
                <w:lang w:val="en-GB"/>
              </w:rPr>
            </w:pPr>
            <w:r>
              <w:rPr>
                <w:rFonts w:cs="Arial"/>
                <w:szCs w:val="18"/>
                <w:lang w:val="en-GB"/>
              </w:rPr>
              <w:t>0.05</w:t>
            </w:r>
          </w:p>
        </w:tc>
      </w:tr>
    </w:tbl>
    <w:p w14:paraId="6ADFDFD6" w14:textId="77777777" w:rsidR="00CC5FF2" w:rsidRPr="0078686C" w:rsidRDefault="00CC5FF2" w:rsidP="0078686C">
      <w:pPr>
        <w:pStyle w:val="CETBodytext"/>
        <w:rPr>
          <w:lang w:val="en-GB"/>
        </w:rPr>
      </w:pPr>
    </w:p>
    <w:p w14:paraId="70854D17" w14:textId="2B9EC58B" w:rsidR="00F87A2F" w:rsidRPr="0078686C" w:rsidRDefault="00F87A2F" w:rsidP="0078686C">
      <w:pPr>
        <w:pStyle w:val="CETBodytext"/>
        <w:rPr>
          <w:lang w:val="en-GB"/>
        </w:rPr>
      </w:pPr>
      <w:r w:rsidRPr="0078686C">
        <w:rPr>
          <w:lang w:val="en-GB"/>
        </w:rPr>
        <w:t xml:space="preserve">The retention volume for a fire in FA-7 is then calculated </w:t>
      </w:r>
      <w:r w:rsidR="00AE42EB" w:rsidRPr="0078686C">
        <w:rPr>
          <w:lang w:val="en-GB"/>
        </w:rPr>
        <w:t>considering</w:t>
      </w:r>
      <w:r w:rsidR="00A078F3" w:rsidRPr="0078686C">
        <w:rPr>
          <w:lang w:val="en-GB"/>
        </w:rPr>
        <w:t xml:space="preserve"> a linear ratio between</w:t>
      </w:r>
      <w:r w:rsidRPr="0078686C">
        <w:rPr>
          <w:lang w:val="en-GB"/>
        </w:rPr>
        <w:t xml:space="preserve"> the t</w:t>
      </w:r>
      <w:r w:rsidRPr="0078686C">
        <w:rPr>
          <w:vertAlign w:val="subscript"/>
          <w:lang w:val="en-GB"/>
        </w:rPr>
        <w:t>f</w:t>
      </w:r>
      <w:r w:rsidRPr="0078686C">
        <w:rPr>
          <w:lang w:val="en-GB"/>
        </w:rPr>
        <w:t xml:space="preserve"> calculated with the liquid hold-up of column C-202 and all liquid </w:t>
      </w:r>
      <w:r w:rsidR="00F64C48" w:rsidRPr="0078686C">
        <w:rPr>
          <w:lang w:val="en-GB"/>
        </w:rPr>
        <w:t>hold-ups</w:t>
      </w:r>
      <w:r w:rsidRPr="0078686C">
        <w:rPr>
          <w:lang w:val="en-GB"/>
        </w:rPr>
        <w:t xml:space="preserve"> present in FA</w:t>
      </w:r>
      <w:r w:rsidR="00422F46" w:rsidRPr="0078686C">
        <w:rPr>
          <w:lang w:val="en-GB"/>
        </w:rPr>
        <w:t>-7 and contained in other equipment</w:t>
      </w:r>
      <w:r w:rsidRPr="0078686C">
        <w:rPr>
          <w:lang w:val="en-GB"/>
        </w:rPr>
        <w:t>:</w:t>
      </w:r>
    </w:p>
    <w:p w14:paraId="54A1241B" w14:textId="77777777" w:rsidR="005557C4" w:rsidRPr="0078686C" w:rsidRDefault="005557C4" w:rsidP="0078686C">
      <w:pPr>
        <w:pStyle w:val="CETBodytext"/>
        <w:rPr>
          <w:lang w:val="en-GB"/>
        </w:rPr>
      </w:pPr>
    </w:p>
    <w:tbl>
      <w:tblPr>
        <w:tblW w:w="5000" w:type="pct"/>
        <w:tblLook w:val="04A0" w:firstRow="1" w:lastRow="0" w:firstColumn="1" w:lastColumn="0" w:noHBand="0" w:noVBand="1"/>
      </w:tblPr>
      <w:tblGrid>
        <w:gridCol w:w="7959"/>
        <w:gridCol w:w="828"/>
      </w:tblGrid>
      <w:tr w:rsidR="00240761" w:rsidRPr="004B798B" w14:paraId="42561338" w14:textId="77777777" w:rsidTr="00522F51">
        <w:tc>
          <w:tcPr>
            <w:tcW w:w="7959" w:type="dxa"/>
            <w:shd w:val="clear" w:color="auto" w:fill="auto"/>
            <w:vAlign w:val="center"/>
          </w:tcPr>
          <w:p w14:paraId="3E56D4FE" w14:textId="76BB0626" w:rsidR="00240761" w:rsidRPr="005D5E2B" w:rsidRDefault="00000000" w:rsidP="00EC036F">
            <w:pPr>
              <w:pStyle w:val="CETEquation"/>
              <w:jc w:val="center"/>
              <w:rPr>
                <w:rFonts w:ascii="Cambria Math" w:hAnsi="Cambria Math" w:cs="Arial"/>
                <w:oMath/>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f FA holdup</m:t>
                    </m:r>
                  </m:sub>
                </m:sSub>
                <m:r>
                  <m:rPr>
                    <m:sty m:val="p"/>
                  </m:rP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f C-202</m:t>
                        </m:r>
                      </m:sub>
                    </m:sSub>
                    <m:r>
                      <m:rPr>
                        <m:sty m:val="p"/>
                      </m:rP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 xml:space="preserve">  holdup FA-7 </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holdup C-202</m:t>
                        </m:r>
                      </m:sub>
                    </m:sSub>
                  </m:den>
                </m:f>
              </m:oMath>
            </m:oMathPara>
          </w:p>
        </w:tc>
        <w:tc>
          <w:tcPr>
            <w:tcW w:w="828" w:type="dxa"/>
            <w:shd w:val="clear" w:color="auto" w:fill="auto"/>
            <w:vAlign w:val="center"/>
          </w:tcPr>
          <w:p w14:paraId="2435E31A" w14:textId="428B8E8C" w:rsidR="00240761" w:rsidRPr="005D5E2B" w:rsidRDefault="00240761" w:rsidP="00EC036F">
            <w:pPr>
              <w:pStyle w:val="CETEquation"/>
              <w:rPr>
                <w:rFonts w:cs="Arial"/>
              </w:rPr>
            </w:pPr>
            <w:r w:rsidRPr="005D5E2B">
              <w:rPr>
                <w:rFonts w:cs="Arial"/>
              </w:rPr>
              <w:t>(</w:t>
            </w:r>
            <w:r w:rsidR="005218C6">
              <w:rPr>
                <w:rFonts w:cs="Arial"/>
              </w:rPr>
              <w:t>7</w:t>
            </w:r>
            <w:r w:rsidRPr="005D5E2B">
              <w:rPr>
                <w:rFonts w:cs="Arial"/>
              </w:rPr>
              <w:t>)</w:t>
            </w:r>
          </w:p>
        </w:tc>
      </w:tr>
      <w:tr w:rsidR="004C7897" w:rsidRPr="004B798B" w14:paraId="2A91FAA9" w14:textId="77777777" w:rsidTr="00522F51">
        <w:tc>
          <w:tcPr>
            <w:tcW w:w="7959" w:type="dxa"/>
            <w:shd w:val="clear" w:color="auto" w:fill="auto"/>
            <w:vAlign w:val="center"/>
          </w:tcPr>
          <w:p w14:paraId="689A4C46" w14:textId="4AC72DB4" w:rsidR="004C7897" w:rsidRPr="005D5E2B" w:rsidRDefault="004C7897" w:rsidP="00EC036F">
            <w:pPr>
              <w:pStyle w:val="CETEquation"/>
              <w:jc w:val="center"/>
              <w:rPr>
                <w:rFonts w:ascii="Cambria Math" w:hAnsi="Cambria Math" w:cs="Arial"/>
                <w:oMath/>
              </w:rPr>
            </w:pPr>
            <m:oMathPara>
              <m:oMath>
                <m:r>
                  <w:rPr>
                    <w:rFonts w:ascii="Cambria Math" w:hAnsi="Cambria Math" w:cs="Arial"/>
                  </w:rPr>
                  <m:t>R (</m:t>
                </m:r>
                <m:sSup>
                  <m:sSupPr>
                    <m:ctrlPr>
                      <w:rPr>
                        <w:rFonts w:ascii="Cambria Math" w:hAnsi="Cambria Math" w:cs="Arial"/>
                        <w:i/>
                        <w:iCs/>
                      </w:rPr>
                    </m:ctrlPr>
                  </m:sSupPr>
                  <m:e>
                    <m:r>
                      <w:rPr>
                        <w:rFonts w:ascii="Cambria Math" w:hAnsi="Cambria Math" w:cs="Arial"/>
                      </w:rPr>
                      <m:t>m</m:t>
                    </m:r>
                  </m:e>
                  <m:sup>
                    <m:r>
                      <w:rPr>
                        <w:rFonts w:ascii="Cambria Math" w:hAnsi="Cambria Math" w:cs="Arial"/>
                      </w:rPr>
                      <m:t>3</m:t>
                    </m:r>
                  </m:sup>
                </m:sSup>
                <m:r>
                  <w:rPr>
                    <w:rFonts w:ascii="Cambria Math" w:hAnsi="Cambria Math" w:cs="Arial"/>
                  </w:rPr>
                  <m:t>)=</m:t>
                </m:r>
                <m:sSub>
                  <m:sSubPr>
                    <m:ctrlPr>
                      <w:rPr>
                        <w:rFonts w:ascii="Cambria Math" w:hAnsi="Cambria Math" w:cs="Arial"/>
                        <w:i/>
                        <w:iCs/>
                      </w:rPr>
                    </m:ctrlPr>
                  </m:sSubPr>
                  <m:e>
                    <m:sSub>
                      <m:sSubPr>
                        <m:ctrlPr>
                          <w:rPr>
                            <w:rFonts w:ascii="Cambria Math" w:hAnsi="Cambria Math" w:cs="Arial"/>
                            <w:i/>
                          </w:rPr>
                        </m:ctrlPr>
                      </m:sSubPr>
                      <m:e>
                        <m:r>
                          <w:rPr>
                            <w:rFonts w:ascii="Cambria Math" w:hAnsi="Cambria Math" w:cs="Arial"/>
                          </w:rPr>
                          <m:t>Q</m:t>
                        </m:r>
                      </m:e>
                      <m:sub>
                        <m:r>
                          <w:rPr>
                            <w:rFonts w:ascii="Cambria Math" w:hAnsi="Cambria Math" w:cs="Arial"/>
                          </w:rPr>
                          <m:t>FW</m:t>
                        </m:r>
                      </m:sub>
                    </m:sSub>
                    <m:r>
                      <w:rPr>
                        <w:rFonts w:ascii="Cambria Math" w:hAnsi="Cambria Math" w:cs="Arial"/>
                      </w:rPr>
                      <m:t xml:space="preserve"> </m:t>
                    </m:r>
                    <m:r>
                      <m:rPr>
                        <m:sty m:val="p"/>
                      </m:rPr>
                      <w:rPr>
                        <w:rFonts w:ascii="Cambria Math" w:hAnsi="Cambria Math" w:cs="Arial"/>
                      </w:rPr>
                      <m:t>∙</m:t>
                    </m:r>
                    <m:r>
                      <w:rPr>
                        <w:rFonts w:ascii="Cambria Math" w:hAnsi="Cambria Math" w:cs="Arial"/>
                      </w:rPr>
                      <m:t xml:space="preserve"> t</m:t>
                    </m:r>
                  </m:e>
                  <m:sub>
                    <m:r>
                      <w:rPr>
                        <w:rFonts w:ascii="Cambria Math" w:hAnsi="Cambria Math" w:cs="Arial"/>
                      </w:rPr>
                      <m:t xml:space="preserve">f FA-7 </m:t>
                    </m:r>
                    <m:r>
                      <w:rPr>
                        <w:rFonts w:ascii="Cambria Math" w:hAnsi="Cambria Math" w:cs="Arial"/>
                      </w:rPr>
                      <m:t>holdup</m:t>
                    </m:r>
                  </m:sub>
                </m:sSub>
                <m:r>
                  <m:rPr>
                    <m:sty m:val="p"/>
                  </m:rPr>
                  <w:rPr>
                    <w:rFonts w:ascii="Cambria Math" w:hAnsi="Cambria Math" w:cs="Arial"/>
                  </w:rPr>
                  <m:t>∙K</m:t>
                </m:r>
              </m:oMath>
            </m:oMathPara>
          </w:p>
        </w:tc>
        <w:tc>
          <w:tcPr>
            <w:tcW w:w="828" w:type="dxa"/>
            <w:shd w:val="clear" w:color="auto" w:fill="auto"/>
            <w:vAlign w:val="center"/>
          </w:tcPr>
          <w:p w14:paraId="026CFF7C" w14:textId="370CD2C9" w:rsidR="004C7897" w:rsidRPr="005D5E2B" w:rsidRDefault="004C7897" w:rsidP="00EC036F">
            <w:pPr>
              <w:pStyle w:val="CETEquation"/>
              <w:rPr>
                <w:rFonts w:cs="Arial"/>
              </w:rPr>
            </w:pPr>
            <w:r w:rsidRPr="005D5E2B">
              <w:rPr>
                <w:rFonts w:cs="Arial"/>
              </w:rPr>
              <w:t>(</w:t>
            </w:r>
            <w:r w:rsidR="005218C6">
              <w:rPr>
                <w:rFonts w:cs="Arial"/>
              </w:rPr>
              <w:t>8</w:t>
            </w:r>
            <w:r w:rsidRPr="005D5E2B">
              <w:rPr>
                <w:rFonts w:cs="Arial"/>
              </w:rPr>
              <w:t>)</w:t>
            </w:r>
          </w:p>
        </w:tc>
      </w:tr>
    </w:tbl>
    <w:p w14:paraId="339657E0" w14:textId="16C31543" w:rsidR="00013B3C" w:rsidRDefault="00013B3C" w:rsidP="0078686C">
      <w:pPr>
        <w:pStyle w:val="CETTabletitle"/>
        <w:jc w:val="both"/>
      </w:pPr>
      <w:r>
        <w:lastRenderedPageBreak/>
        <w:t xml:space="preserve">Table </w:t>
      </w:r>
      <w:r>
        <w:fldChar w:fldCharType="begin"/>
      </w:r>
      <w:r>
        <w:instrText xml:space="preserve"> SEQ Table \* ARABIC </w:instrText>
      </w:r>
      <w:r>
        <w:fldChar w:fldCharType="separate"/>
      </w:r>
      <w:r w:rsidR="008B16E4">
        <w:rPr>
          <w:noProof/>
        </w:rPr>
        <w:t>5</w:t>
      </w:r>
      <w:r>
        <w:fldChar w:fldCharType="end"/>
      </w:r>
      <w:r>
        <w:t>:</w:t>
      </w:r>
      <w:r w:rsidRPr="00013B3C">
        <w:t xml:space="preserve"> Burning rate - FW runoff retention Volume R (m</w:t>
      </w:r>
      <w:r w:rsidRPr="0078686C">
        <w:rPr>
          <w:vertAlign w:val="superscript"/>
        </w:rPr>
        <w:t>3</w:t>
      </w:r>
      <w:r w:rsidRPr="00013B3C">
        <w:t>)</w:t>
      </w:r>
    </w:p>
    <w:tbl>
      <w:tblPr>
        <w:tblW w:w="82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1890"/>
        <w:gridCol w:w="2250"/>
        <w:gridCol w:w="2070"/>
      </w:tblGrid>
      <w:tr w:rsidR="00321790" w:rsidRPr="00F81F81" w14:paraId="262B748A" w14:textId="77777777" w:rsidTr="00F81F81">
        <w:tc>
          <w:tcPr>
            <w:tcW w:w="2070" w:type="dxa"/>
            <w:tcBorders>
              <w:top w:val="single" w:sz="12" w:space="0" w:color="008000"/>
              <w:bottom w:val="single" w:sz="6" w:space="0" w:color="008000"/>
            </w:tcBorders>
            <w:shd w:val="clear" w:color="auto" w:fill="FFFFFF"/>
          </w:tcPr>
          <w:p w14:paraId="0DF710D6" w14:textId="09DC6B3F" w:rsidR="00321790" w:rsidRPr="00F81F81" w:rsidRDefault="00321790" w:rsidP="00647437">
            <w:pPr>
              <w:pStyle w:val="CETBodytext"/>
              <w:rPr>
                <w:lang w:val="en-GB"/>
              </w:rPr>
            </w:pPr>
            <w:r w:rsidRPr="00F81F81">
              <w:rPr>
                <w:lang w:val="en-GB"/>
              </w:rPr>
              <w:t>Liquid hold-up FA-7</w:t>
            </w:r>
          </w:p>
          <w:p w14:paraId="5A4DA7CD" w14:textId="2033699D" w:rsidR="00321790" w:rsidRPr="00F81F81" w:rsidRDefault="00FB7412" w:rsidP="00647437">
            <w:pPr>
              <w:pStyle w:val="CETBodytext"/>
              <w:rPr>
                <w:lang w:val="en-GB"/>
              </w:rPr>
            </w:pPr>
            <w:r w:rsidRPr="00F81F81">
              <w:rPr>
                <w:lang w:val="en-GB"/>
              </w:rPr>
              <w:t>(</w:t>
            </w:r>
            <w:r w:rsidR="00321790" w:rsidRPr="00F81F81">
              <w:rPr>
                <w:lang w:val="en-GB"/>
              </w:rPr>
              <w:t>m</w:t>
            </w:r>
            <w:r w:rsidR="00321790" w:rsidRPr="00F81F81">
              <w:rPr>
                <w:vertAlign w:val="superscript"/>
                <w:lang w:val="en-GB"/>
              </w:rPr>
              <w:t>3</w:t>
            </w:r>
            <w:r w:rsidRPr="00F81F81">
              <w:rPr>
                <w:lang w:val="en-GB"/>
              </w:rPr>
              <w:t>)</w:t>
            </w:r>
          </w:p>
        </w:tc>
        <w:tc>
          <w:tcPr>
            <w:tcW w:w="1890" w:type="dxa"/>
            <w:tcBorders>
              <w:top w:val="single" w:sz="12" w:space="0" w:color="008000"/>
              <w:bottom w:val="single" w:sz="6" w:space="0" w:color="008000"/>
            </w:tcBorders>
            <w:shd w:val="clear" w:color="auto" w:fill="FFFFFF"/>
          </w:tcPr>
          <w:p w14:paraId="702B36F1" w14:textId="77777777" w:rsidR="00321790" w:rsidRPr="00F81F81" w:rsidRDefault="00321790" w:rsidP="00647437">
            <w:pPr>
              <w:pStyle w:val="CETBodytext"/>
              <w:rPr>
                <w:lang w:val="en-GB"/>
              </w:rPr>
            </w:pPr>
            <w:r w:rsidRPr="00F81F81">
              <w:rPr>
                <w:lang w:val="en-GB"/>
              </w:rPr>
              <w:t>V</w:t>
            </w:r>
            <w:r w:rsidRPr="00F81F81">
              <w:rPr>
                <w:vertAlign w:val="subscript"/>
                <w:lang w:val="en-GB"/>
              </w:rPr>
              <w:t>b</w:t>
            </w:r>
            <w:r w:rsidRPr="00F81F81">
              <w:rPr>
                <w:lang w:val="en-GB"/>
              </w:rPr>
              <w:t xml:space="preserve"> Burning Rate</w:t>
            </w:r>
          </w:p>
          <w:p w14:paraId="44E7A2BA" w14:textId="6D54A46A" w:rsidR="00321790" w:rsidRPr="00F81F81" w:rsidRDefault="00FB7412" w:rsidP="00647437">
            <w:pPr>
              <w:pStyle w:val="CETBodytext"/>
              <w:rPr>
                <w:lang w:val="en-GB"/>
              </w:rPr>
            </w:pPr>
            <w:r w:rsidRPr="00F81F81">
              <w:rPr>
                <w:lang w:val="en-GB"/>
              </w:rPr>
              <w:t>(</w:t>
            </w:r>
            <w:r w:rsidR="00321790" w:rsidRPr="00F81F81">
              <w:rPr>
                <w:lang w:val="en-GB"/>
              </w:rPr>
              <w:t>m/s</w:t>
            </w:r>
            <w:r w:rsidRPr="00F81F81">
              <w:rPr>
                <w:lang w:val="en-GB"/>
              </w:rPr>
              <w:t>)</w:t>
            </w:r>
          </w:p>
        </w:tc>
        <w:tc>
          <w:tcPr>
            <w:tcW w:w="2250" w:type="dxa"/>
            <w:tcBorders>
              <w:top w:val="single" w:sz="12" w:space="0" w:color="008000"/>
              <w:bottom w:val="single" w:sz="6" w:space="0" w:color="008000"/>
            </w:tcBorders>
            <w:shd w:val="clear" w:color="auto" w:fill="FFFFFF"/>
          </w:tcPr>
          <w:p w14:paraId="1CB93FA0" w14:textId="77777777" w:rsidR="00647437" w:rsidRPr="00F81F81" w:rsidRDefault="00260336" w:rsidP="00647437">
            <w:pPr>
              <w:pStyle w:val="CETBodytext"/>
              <w:ind w:right="-1"/>
              <w:rPr>
                <w:rFonts w:cs="Arial"/>
                <w:szCs w:val="18"/>
                <w:lang w:val="en-GB"/>
              </w:rPr>
            </w:pPr>
            <w:r w:rsidRPr="00F81F81">
              <w:rPr>
                <w:rFonts w:cs="Arial"/>
                <w:szCs w:val="18"/>
                <w:lang w:val="en-GB"/>
              </w:rPr>
              <w:t>t</w:t>
            </w:r>
            <w:r w:rsidRPr="00F81F81">
              <w:rPr>
                <w:rFonts w:cs="Arial"/>
                <w:szCs w:val="18"/>
                <w:vertAlign w:val="subscript"/>
                <w:lang w:val="en-GB"/>
              </w:rPr>
              <w:t>f</w:t>
            </w:r>
            <w:r w:rsidRPr="00F81F81">
              <w:rPr>
                <w:rFonts w:cs="Arial"/>
                <w:szCs w:val="18"/>
                <w:lang w:val="en-GB"/>
              </w:rPr>
              <w:t xml:space="preserve"> - Duration of </w:t>
            </w:r>
          </w:p>
          <w:p w14:paraId="055A980F" w14:textId="7E49C851" w:rsidR="00321790" w:rsidRPr="00F81F81" w:rsidRDefault="00260336" w:rsidP="00647437">
            <w:pPr>
              <w:pStyle w:val="CETBodytext"/>
              <w:ind w:right="-1"/>
              <w:rPr>
                <w:rFonts w:cs="Arial"/>
                <w:szCs w:val="18"/>
                <w:lang w:val="en-GB"/>
              </w:rPr>
            </w:pPr>
            <w:r w:rsidRPr="00F81F81">
              <w:rPr>
                <w:rFonts w:cs="Arial"/>
                <w:szCs w:val="18"/>
                <w:lang w:val="en-GB"/>
              </w:rPr>
              <w:t>fire scenario (h)</w:t>
            </w:r>
          </w:p>
        </w:tc>
        <w:tc>
          <w:tcPr>
            <w:tcW w:w="2070" w:type="dxa"/>
            <w:tcBorders>
              <w:top w:val="single" w:sz="12" w:space="0" w:color="008000"/>
              <w:bottom w:val="single" w:sz="6" w:space="0" w:color="008000"/>
            </w:tcBorders>
            <w:shd w:val="clear" w:color="auto" w:fill="FFFFFF"/>
          </w:tcPr>
          <w:p w14:paraId="6F8EE036" w14:textId="77777777" w:rsidR="00647437" w:rsidRPr="00F81F81" w:rsidRDefault="00260336" w:rsidP="00647437">
            <w:pPr>
              <w:pStyle w:val="CETBodytext"/>
              <w:ind w:right="-1"/>
              <w:rPr>
                <w:rFonts w:cs="Arial"/>
                <w:szCs w:val="18"/>
                <w:lang w:val="en-GB"/>
              </w:rPr>
            </w:pPr>
            <w:r w:rsidRPr="00F81F81">
              <w:rPr>
                <w:rFonts w:cs="Arial"/>
                <w:szCs w:val="18"/>
                <w:lang w:val="en-GB"/>
              </w:rPr>
              <w:t>FW runoff</w:t>
            </w:r>
          </w:p>
          <w:p w14:paraId="7F882CCB" w14:textId="3BACCF06" w:rsidR="00321790" w:rsidRPr="00F81F81" w:rsidRDefault="00260336" w:rsidP="00647437">
            <w:pPr>
              <w:pStyle w:val="CETBodytext"/>
              <w:ind w:right="-1"/>
              <w:rPr>
                <w:rFonts w:cs="Arial"/>
                <w:szCs w:val="18"/>
                <w:lang w:val="en-GB"/>
              </w:rPr>
            </w:pPr>
            <w:r w:rsidRPr="00F81F81">
              <w:rPr>
                <w:rFonts w:cs="Arial"/>
                <w:szCs w:val="18"/>
                <w:lang w:val="en-GB"/>
              </w:rPr>
              <w:t>retention Volume R (m</w:t>
            </w:r>
            <w:r w:rsidRPr="00F81F81">
              <w:rPr>
                <w:rFonts w:cs="Arial"/>
                <w:szCs w:val="18"/>
                <w:vertAlign w:val="superscript"/>
                <w:lang w:val="en-GB"/>
              </w:rPr>
              <w:t>3</w:t>
            </w:r>
            <w:r w:rsidRPr="00F81F81">
              <w:rPr>
                <w:rFonts w:cs="Arial"/>
                <w:szCs w:val="18"/>
                <w:lang w:val="en-GB"/>
              </w:rPr>
              <w:t>)</w:t>
            </w:r>
          </w:p>
        </w:tc>
      </w:tr>
      <w:tr w:rsidR="00321790" w:rsidRPr="00B57B36" w14:paraId="54553867" w14:textId="77777777" w:rsidTr="00F81F81">
        <w:trPr>
          <w:trHeight w:val="651"/>
        </w:trPr>
        <w:tc>
          <w:tcPr>
            <w:tcW w:w="2070" w:type="dxa"/>
            <w:shd w:val="clear" w:color="auto" w:fill="FFFFFF"/>
            <w:vAlign w:val="center"/>
          </w:tcPr>
          <w:p w14:paraId="6C22914C" w14:textId="7B827B17" w:rsidR="00321790" w:rsidRPr="00F81F81" w:rsidRDefault="007202A6" w:rsidP="00647437">
            <w:pPr>
              <w:pStyle w:val="CETBodytext"/>
              <w:rPr>
                <w:szCs w:val="18"/>
                <w:lang w:val="en-GB"/>
              </w:rPr>
            </w:pPr>
            <w:r w:rsidRPr="00F81F81">
              <w:rPr>
                <w:szCs w:val="18"/>
              </w:rPr>
              <w:t>3</w:t>
            </w:r>
            <w:r w:rsidR="00250883">
              <w:rPr>
                <w:szCs w:val="18"/>
              </w:rPr>
              <w:t>,</w:t>
            </w:r>
            <w:r w:rsidRPr="00F81F81">
              <w:rPr>
                <w:szCs w:val="18"/>
              </w:rPr>
              <w:t>722</w:t>
            </w:r>
          </w:p>
        </w:tc>
        <w:tc>
          <w:tcPr>
            <w:tcW w:w="1890" w:type="dxa"/>
            <w:shd w:val="clear" w:color="auto" w:fill="FFFFFF"/>
            <w:vAlign w:val="center"/>
          </w:tcPr>
          <w:p w14:paraId="052CEF2C" w14:textId="7C6EF85C" w:rsidR="00321790" w:rsidRPr="00F81F81" w:rsidRDefault="007202A6" w:rsidP="00647437">
            <w:pPr>
              <w:pStyle w:val="CETBodytext"/>
              <w:rPr>
                <w:szCs w:val="18"/>
                <w:lang w:val="en-GB"/>
              </w:rPr>
            </w:pPr>
            <w:r w:rsidRPr="00F81F81">
              <w:rPr>
                <w:rFonts w:cs="Arial"/>
                <w:szCs w:val="18"/>
              </w:rPr>
              <w:t>6.49E-05</w:t>
            </w:r>
          </w:p>
        </w:tc>
        <w:tc>
          <w:tcPr>
            <w:tcW w:w="2250" w:type="dxa"/>
            <w:shd w:val="clear" w:color="auto" w:fill="FFFFFF"/>
            <w:vAlign w:val="center"/>
          </w:tcPr>
          <w:p w14:paraId="27E02774" w14:textId="7ADA8200" w:rsidR="00321790" w:rsidRPr="00F81F81" w:rsidRDefault="00260336" w:rsidP="00647437">
            <w:pPr>
              <w:pStyle w:val="CETBodytext"/>
              <w:ind w:right="-1"/>
              <w:rPr>
                <w:rFonts w:cs="Arial"/>
                <w:szCs w:val="18"/>
                <w:lang w:val="en-GB"/>
              </w:rPr>
            </w:pPr>
            <w:r w:rsidRPr="00F81F81">
              <w:rPr>
                <w:rFonts w:cs="Arial"/>
                <w:szCs w:val="18"/>
                <w:lang w:val="en-GB"/>
              </w:rPr>
              <w:t>0.79</w:t>
            </w:r>
          </w:p>
        </w:tc>
        <w:tc>
          <w:tcPr>
            <w:tcW w:w="2070" w:type="dxa"/>
            <w:shd w:val="clear" w:color="auto" w:fill="FFFFFF"/>
            <w:vAlign w:val="center"/>
          </w:tcPr>
          <w:p w14:paraId="5D565705" w14:textId="57B908C1" w:rsidR="00321790" w:rsidRDefault="00260336" w:rsidP="00647437">
            <w:pPr>
              <w:pStyle w:val="CETBodytext"/>
              <w:ind w:right="-1"/>
              <w:rPr>
                <w:rFonts w:cs="Arial"/>
                <w:szCs w:val="18"/>
                <w:lang w:val="en-GB"/>
              </w:rPr>
            </w:pPr>
            <w:r w:rsidRPr="00F81F81">
              <w:rPr>
                <w:rFonts w:cs="Arial"/>
                <w:szCs w:val="18"/>
                <w:lang w:val="en-GB"/>
              </w:rPr>
              <w:t>1</w:t>
            </w:r>
            <w:r w:rsidR="00250883">
              <w:rPr>
                <w:rFonts w:cs="Arial"/>
                <w:szCs w:val="18"/>
                <w:lang w:val="en-GB"/>
              </w:rPr>
              <w:t>,</w:t>
            </w:r>
            <w:r w:rsidRPr="00F81F81">
              <w:rPr>
                <w:rFonts w:cs="Arial"/>
                <w:szCs w:val="18"/>
                <w:lang w:val="en-GB"/>
              </w:rPr>
              <w:t>465</w:t>
            </w:r>
          </w:p>
        </w:tc>
      </w:tr>
    </w:tbl>
    <w:p w14:paraId="1C9E7481" w14:textId="77777777" w:rsidR="00EF187E" w:rsidRPr="00627C58" w:rsidRDefault="00EF187E" w:rsidP="0078686C">
      <w:pPr>
        <w:pStyle w:val="CETheadingx"/>
      </w:pPr>
      <w:r w:rsidRPr="00627C58">
        <w:t>Four Phases Intervention Model</w:t>
      </w:r>
    </w:p>
    <w:p w14:paraId="2A9EC39D" w14:textId="3C14E902" w:rsidR="004E6955" w:rsidRPr="0078686C" w:rsidRDefault="009B6C5C" w:rsidP="0078686C">
      <w:pPr>
        <w:pStyle w:val="CETBodytext"/>
        <w:rPr>
          <w:lang w:val="en-GB"/>
        </w:rPr>
      </w:pPr>
      <w:r w:rsidRPr="0078686C">
        <w:rPr>
          <w:lang w:val="en-GB"/>
        </w:rPr>
        <w:t xml:space="preserve">The </w:t>
      </w:r>
      <w:r w:rsidRPr="00627C58">
        <w:rPr>
          <w:rFonts w:cs="Arial"/>
          <w:lang w:val="en-GB"/>
        </w:rPr>
        <w:t>“</w:t>
      </w:r>
      <w:r w:rsidRPr="0078686C">
        <w:rPr>
          <w:lang w:val="en-GB"/>
        </w:rPr>
        <w:t>Four Phases Intervention Model</w:t>
      </w:r>
      <w:r w:rsidRPr="00BB5066">
        <w:rPr>
          <w:rFonts w:cs="Arial"/>
          <w:lang w:val="en-GB"/>
        </w:rPr>
        <w:t>”</w:t>
      </w:r>
      <w:r w:rsidRPr="0078686C">
        <w:rPr>
          <w:lang w:val="en-GB"/>
        </w:rPr>
        <w:t xml:space="preserve"> is a test method that evaluates the contribution of discharged foam and the time to deliver </w:t>
      </w:r>
      <w:r w:rsidR="004E6955" w:rsidRPr="0078686C">
        <w:rPr>
          <w:lang w:val="en-GB"/>
        </w:rPr>
        <w:t>the water/foam solution</w:t>
      </w:r>
      <w:r w:rsidRPr="0078686C">
        <w:rPr>
          <w:lang w:val="en-GB"/>
        </w:rPr>
        <w:t xml:space="preserve"> to the retention basin.</w:t>
      </w:r>
      <w:r w:rsidR="00D46863" w:rsidRPr="0078686C">
        <w:rPr>
          <w:lang w:val="en-GB"/>
        </w:rPr>
        <w:t xml:space="preserve"> </w:t>
      </w:r>
      <w:r w:rsidR="00EF187E" w:rsidRPr="0078686C">
        <w:rPr>
          <w:lang w:val="en-GB"/>
        </w:rPr>
        <w:t>This method considers the sequence of intervention of automatic/semiautomatic systems with their typical flowrate and the contribution given by fire brigades that will discharge fire water from the truck and foam solution for 65 minutes</w:t>
      </w:r>
      <w:r w:rsidR="004E6955" w:rsidRPr="0078686C">
        <w:rPr>
          <w:lang w:val="en-GB"/>
        </w:rPr>
        <w:t>,</w:t>
      </w:r>
      <w:r w:rsidR="00EF187E" w:rsidRPr="0078686C">
        <w:rPr>
          <w:lang w:val="en-GB"/>
        </w:rPr>
        <w:t xml:space="preserve"> plus the contribution given by the FW discharge to cool the equipment during the time needed till the released foam flows from farthest point to reach the retention basin.</w:t>
      </w:r>
      <w:r w:rsidR="006F7BBC">
        <w:rPr>
          <w:rFonts w:cs="Arial"/>
          <w:lang w:val="en-GB"/>
        </w:rPr>
        <w:t xml:space="preserve"> </w:t>
      </w:r>
    </w:p>
    <w:p w14:paraId="6456A9F0" w14:textId="22DD9B62" w:rsidR="0073100D" w:rsidRPr="0078686C" w:rsidRDefault="0073100D" w:rsidP="0078686C">
      <w:pPr>
        <w:pStyle w:val="CETBodytext"/>
        <w:rPr>
          <w:lang w:val="en-GB"/>
        </w:rPr>
      </w:pPr>
      <w:r w:rsidRPr="0078686C">
        <w:rPr>
          <w:lang w:val="en-GB"/>
        </w:rPr>
        <w:t>Four phases of intervention are considered as follows:</w:t>
      </w:r>
    </w:p>
    <w:p w14:paraId="032FECFF" w14:textId="77777777" w:rsidR="004E6955" w:rsidRPr="0078686C" w:rsidRDefault="004E6955" w:rsidP="0078686C">
      <w:pPr>
        <w:pStyle w:val="CETBodytext"/>
        <w:rPr>
          <w:lang w:val="en-GB"/>
        </w:rPr>
      </w:pPr>
    </w:p>
    <w:p w14:paraId="0CDDEF23" w14:textId="531A8C95" w:rsidR="00693311" w:rsidRPr="0078686C" w:rsidRDefault="00693311" w:rsidP="0078686C">
      <w:pPr>
        <w:pStyle w:val="CETBodytext"/>
        <w:rPr>
          <w:lang w:val="en-GB"/>
        </w:rPr>
      </w:pPr>
      <w:r w:rsidRPr="0078686C">
        <w:rPr>
          <w:b/>
          <w:lang w:val="en-GB"/>
        </w:rPr>
        <w:t>Phase 1</w:t>
      </w:r>
      <w:r w:rsidRPr="0078686C">
        <w:rPr>
          <w:lang w:val="en-GB"/>
        </w:rPr>
        <w:t xml:space="preserve"> - Activation of all the automatic </w:t>
      </w:r>
      <w:r w:rsidRPr="00627C58">
        <w:rPr>
          <w:rFonts w:cs="Arial"/>
          <w:lang w:val="en-GB"/>
        </w:rPr>
        <w:t>system</w:t>
      </w:r>
      <w:r w:rsidRPr="0078686C">
        <w:rPr>
          <w:lang w:val="en-GB"/>
        </w:rPr>
        <w:t xml:space="preserve"> (automatic deluges) upon intervention of fire detectors. </w:t>
      </w:r>
      <w:r w:rsidRPr="00627C58">
        <w:rPr>
          <w:rFonts w:cs="Arial"/>
          <w:lang w:val="en-GB"/>
        </w:rPr>
        <w:t>Duration</w:t>
      </w:r>
      <w:r w:rsidRPr="0078686C">
        <w:rPr>
          <w:lang w:val="en-GB"/>
        </w:rPr>
        <w:t xml:space="preserve"> of this first phase is considered 10 minutes.</w:t>
      </w:r>
    </w:p>
    <w:p w14:paraId="392BBE26" w14:textId="6434A13E" w:rsidR="00693311" w:rsidRPr="0078686C" w:rsidRDefault="00693311" w:rsidP="0078686C">
      <w:pPr>
        <w:pStyle w:val="CETBodytext"/>
        <w:rPr>
          <w:lang w:val="en-GB"/>
        </w:rPr>
      </w:pPr>
      <w:r w:rsidRPr="0078686C">
        <w:rPr>
          <w:b/>
          <w:lang w:val="en-GB"/>
        </w:rPr>
        <w:t>Phase 2</w:t>
      </w:r>
      <w:r w:rsidRPr="0078686C">
        <w:rPr>
          <w:lang w:val="en-GB"/>
        </w:rPr>
        <w:t xml:space="preserve"> - Intervention of Plant operators activating after ten minutes from automatic fire alarm (operators intervention time) the semi-automatic deluge systems, FW monitors, hydrants and hose reels of the area. </w:t>
      </w:r>
      <w:r w:rsidRPr="00627C58">
        <w:rPr>
          <w:rFonts w:cs="Arial"/>
          <w:lang w:val="en-GB"/>
        </w:rPr>
        <w:t>Duration</w:t>
      </w:r>
      <w:r w:rsidRPr="0078686C">
        <w:rPr>
          <w:lang w:val="en-GB"/>
        </w:rPr>
        <w:t xml:space="preserve"> of the second phase is considered 5 minutes.</w:t>
      </w:r>
      <w:r w:rsidRPr="00627C58">
        <w:rPr>
          <w:rFonts w:cs="Arial"/>
          <w:lang w:val="en-GB"/>
        </w:rPr>
        <w:t xml:space="preserve"> </w:t>
      </w:r>
    </w:p>
    <w:p w14:paraId="5E2A86A1" w14:textId="668FE018" w:rsidR="00693311" w:rsidRPr="0078686C" w:rsidRDefault="00693311" w:rsidP="0078686C">
      <w:pPr>
        <w:pStyle w:val="CETBodytext"/>
        <w:rPr>
          <w:lang w:val="en-GB"/>
        </w:rPr>
      </w:pPr>
      <w:r w:rsidRPr="0078686C">
        <w:rPr>
          <w:b/>
          <w:lang w:val="en-GB"/>
        </w:rPr>
        <w:t>Phase 3</w:t>
      </w:r>
      <w:r w:rsidRPr="0078686C">
        <w:rPr>
          <w:lang w:val="en-GB"/>
        </w:rPr>
        <w:t xml:space="preserve"> - Intervention of Plant fire brigades that will discharge after 15 minutes from automatic fire alarm (Fire </w:t>
      </w:r>
      <w:r w:rsidRPr="00627C58">
        <w:rPr>
          <w:rFonts w:cs="Arial"/>
          <w:lang w:val="en-GB"/>
        </w:rPr>
        <w:t>brigades</w:t>
      </w:r>
      <w:r w:rsidRPr="0078686C">
        <w:rPr>
          <w:lang w:val="en-GB"/>
        </w:rPr>
        <w:t xml:space="preserve"> intervention time) water and foam for a duration of 65 minutes.</w:t>
      </w:r>
      <w:r w:rsidRPr="00627C58">
        <w:rPr>
          <w:rFonts w:cs="Arial"/>
          <w:lang w:val="en-GB"/>
        </w:rPr>
        <w:t xml:space="preserve"> </w:t>
      </w:r>
    </w:p>
    <w:p w14:paraId="770ADB16" w14:textId="445DDB95" w:rsidR="00693311" w:rsidRPr="0078686C" w:rsidRDefault="00693311" w:rsidP="0078686C">
      <w:pPr>
        <w:pStyle w:val="CETBodytext"/>
        <w:rPr>
          <w:highlight w:val="yellow"/>
          <w:lang w:val="en-GB"/>
        </w:rPr>
      </w:pPr>
      <w:r w:rsidRPr="0078686C">
        <w:rPr>
          <w:b/>
          <w:lang w:val="en-GB"/>
        </w:rPr>
        <w:t>Phase 4</w:t>
      </w:r>
      <w:r w:rsidRPr="0078686C">
        <w:rPr>
          <w:lang w:val="en-GB"/>
        </w:rPr>
        <w:t xml:space="preserve"> - </w:t>
      </w:r>
      <w:r w:rsidRPr="00627C58">
        <w:rPr>
          <w:rFonts w:cs="Arial"/>
          <w:lang w:val="en-GB"/>
        </w:rPr>
        <w:t>The phase</w:t>
      </w:r>
      <w:r w:rsidRPr="0078686C">
        <w:rPr>
          <w:lang w:val="en-GB"/>
        </w:rPr>
        <w:t xml:space="preserve"> 4 is defined as the time that it takes for the water drop, once fallen on the ground, to reach the retention basin. This time is given by below equation:</w:t>
      </w:r>
    </w:p>
    <w:tbl>
      <w:tblPr>
        <w:tblW w:w="5000" w:type="pct"/>
        <w:tblLook w:val="04A0" w:firstRow="1" w:lastRow="0" w:firstColumn="1" w:lastColumn="0" w:noHBand="0" w:noVBand="1"/>
      </w:tblPr>
      <w:tblGrid>
        <w:gridCol w:w="7959"/>
        <w:gridCol w:w="828"/>
      </w:tblGrid>
      <w:tr w:rsidR="00F17860" w:rsidRPr="004B798B" w14:paraId="4EA424FD" w14:textId="77777777" w:rsidTr="00EC036F">
        <w:tc>
          <w:tcPr>
            <w:tcW w:w="7500" w:type="dxa"/>
            <w:shd w:val="clear" w:color="auto" w:fill="auto"/>
            <w:vAlign w:val="center"/>
          </w:tcPr>
          <w:p w14:paraId="7C75FD7F" w14:textId="20BB105B" w:rsidR="00F17860" w:rsidRPr="005D5E2B" w:rsidRDefault="00F17860" w:rsidP="00EC036F">
            <w:pPr>
              <w:pStyle w:val="CETEquation"/>
              <w:jc w:val="center"/>
              <w:rPr>
                <w:rFonts w:ascii="Cambria Math" w:hAnsi="Cambria Math" w:cs="Arial"/>
                <w:oMath/>
              </w:rPr>
            </w:pPr>
            <m:oMathPara>
              <m:oMath>
                <m:r>
                  <w:rPr>
                    <w:rFonts w:ascii="Cambria Math" w:hAnsi="Cambria Math" w:cs="Arial"/>
                  </w:rPr>
                  <m:t>t =</m:t>
                </m:r>
                <m:sSub>
                  <m:sSubPr>
                    <m:ctrlPr>
                      <w:rPr>
                        <w:rFonts w:ascii="Cambria Math" w:hAnsi="Cambria Math" w:cs="Arial"/>
                        <w:i/>
                        <w:iCs/>
                      </w:rPr>
                    </m:ctrlPr>
                  </m:sSubPr>
                  <m:e>
                    <m:r>
                      <w:rPr>
                        <w:rFonts w:ascii="Cambria Math" w:hAnsi="Cambria Math" w:cs="Arial"/>
                      </w:rPr>
                      <m:t>t</m:t>
                    </m:r>
                  </m:e>
                  <m:sub>
                    <m:r>
                      <w:rPr>
                        <w:rFonts w:ascii="Cambria Math" w:hAnsi="Cambria Math" w:cs="Arial"/>
                      </w:rPr>
                      <m:t>e</m:t>
                    </m:r>
                  </m:sub>
                </m:sSub>
                <m:r>
                  <m:rPr>
                    <m:sty m:val="p"/>
                  </m:rP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t</m:t>
                    </m:r>
                  </m:sub>
                </m:sSub>
              </m:oMath>
            </m:oMathPara>
          </w:p>
        </w:tc>
        <w:tc>
          <w:tcPr>
            <w:tcW w:w="780" w:type="dxa"/>
            <w:shd w:val="clear" w:color="auto" w:fill="auto"/>
            <w:vAlign w:val="center"/>
          </w:tcPr>
          <w:p w14:paraId="558AF349" w14:textId="35846853" w:rsidR="00F17860" w:rsidRPr="005D5E2B" w:rsidRDefault="00F17860" w:rsidP="00EC036F">
            <w:pPr>
              <w:pStyle w:val="CETEquation"/>
              <w:rPr>
                <w:rFonts w:cs="Arial"/>
              </w:rPr>
            </w:pPr>
            <w:r w:rsidRPr="005D5E2B">
              <w:rPr>
                <w:rFonts w:cs="Arial"/>
              </w:rPr>
              <w:t>(</w:t>
            </w:r>
            <w:r w:rsidR="005218C6">
              <w:rPr>
                <w:rFonts w:cs="Arial"/>
              </w:rPr>
              <w:t>9</w:t>
            </w:r>
            <w:r w:rsidRPr="005D5E2B">
              <w:rPr>
                <w:rFonts w:cs="Arial"/>
              </w:rPr>
              <w:t>)</w:t>
            </w:r>
          </w:p>
        </w:tc>
      </w:tr>
      <w:tr w:rsidR="006E190F" w:rsidRPr="004B798B" w14:paraId="78587B07" w14:textId="77777777" w:rsidTr="00EC036F">
        <w:tc>
          <w:tcPr>
            <w:tcW w:w="7500" w:type="dxa"/>
            <w:shd w:val="clear" w:color="auto" w:fill="auto"/>
            <w:vAlign w:val="center"/>
          </w:tcPr>
          <w:p w14:paraId="2827AC00" w14:textId="56FB0DB7" w:rsidR="006E190F" w:rsidRPr="005D5E2B" w:rsidRDefault="00000000" w:rsidP="00EC036F">
            <w:pPr>
              <w:pStyle w:val="CETEquation"/>
              <w:jc w:val="center"/>
              <w:rPr>
                <w:rFonts w:ascii="Cambria Math" w:hAnsi="Cambria Math" w:cs="Arial"/>
                <w:oMath/>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t</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Length of pipe</m:t>
                    </m:r>
                  </m:num>
                  <m:den>
                    <m:r>
                      <w:rPr>
                        <w:rFonts w:ascii="Cambria Math" w:hAnsi="Cambria Math" w:cs="Arial"/>
                      </w:rPr>
                      <m:t>Actual velocity</m:t>
                    </m:r>
                  </m:den>
                </m:f>
              </m:oMath>
            </m:oMathPara>
          </w:p>
        </w:tc>
        <w:tc>
          <w:tcPr>
            <w:tcW w:w="780" w:type="dxa"/>
            <w:shd w:val="clear" w:color="auto" w:fill="auto"/>
            <w:vAlign w:val="center"/>
          </w:tcPr>
          <w:p w14:paraId="14FE3C35" w14:textId="0823F3D0" w:rsidR="006E190F" w:rsidRPr="005D5E2B" w:rsidRDefault="006E190F" w:rsidP="00EC036F">
            <w:pPr>
              <w:pStyle w:val="CETEquation"/>
              <w:rPr>
                <w:rFonts w:cs="Arial"/>
              </w:rPr>
            </w:pPr>
            <w:r w:rsidRPr="005D5E2B">
              <w:rPr>
                <w:rFonts w:cs="Arial"/>
              </w:rPr>
              <w:t>(</w:t>
            </w:r>
            <w:r w:rsidR="005218C6">
              <w:rPr>
                <w:rFonts w:cs="Arial"/>
              </w:rPr>
              <w:t>10</w:t>
            </w:r>
            <w:r w:rsidRPr="005D5E2B">
              <w:rPr>
                <w:rFonts w:cs="Arial"/>
              </w:rPr>
              <w:t>)</w:t>
            </w:r>
          </w:p>
        </w:tc>
      </w:tr>
    </w:tbl>
    <w:p w14:paraId="457E135F" w14:textId="57BF3C2A" w:rsidR="00865DE3" w:rsidRPr="009173FE" w:rsidRDefault="00D26849" w:rsidP="0078686C">
      <w:pPr>
        <w:pStyle w:val="CETBodytext"/>
      </w:pPr>
      <w:r w:rsidRPr="00627C58">
        <w:t>Sizing of open channels or of gravity pipes assumes that a uniform flow can occur (parallel-walled channels, cross sectional area being constant). The sizing criteria used for the uniform movement, present in the pipes, is the Hazen and Williams formula:</w:t>
      </w:r>
    </w:p>
    <w:tbl>
      <w:tblPr>
        <w:tblW w:w="5000" w:type="pct"/>
        <w:tblLook w:val="04A0" w:firstRow="1" w:lastRow="0" w:firstColumn="1" w:lastColumn="0" w:noHBand="0" w:noVBand="1"/>
      </w:tblPr>
      <w:tblGrid>
        <w:gridCol w:w="7959"/>
        <w:gridCol w:w="828"/>
      </w:tblGrid>
      <w:tr w:rsidR="00D97A7A" w:rsidRPr="004B798B" w14:paraId="5D227105" w14:textId="77777777" w:rsidTr="00EC036F">
        <w:tc>
          <w:tcPr>
            <w:tcW w:w="7500" w:type="dxa"/>
            <w:shd w:val="clear" w:color="auto" w:fill="auto"/>
            <w:vAlign w:val="center"/>
          </w:tcPr>
          <w:p w14:paraId="279CBDFE" w14:textId="6409D764" w:rsidR="00D97A7A" w:rsidRPr="005D5E2B" w:rsidRDefault="00D97A7A" w:rsidP="00EC036F">
            <w:pPr>
              <w:pStyle w:val="CETEquation"/>
              <w:jc w:val="center"/>
              <w:rPr>
                <w:rFonts w:ascii="Cambria Math" w:hAnsi="Cambria Math" w:cs="Arial"/>
                <w:oMath/>
              </w:rPr>
            </w:pPr>
            <m:oMathPara>
              <m:oMath>
                <m:r>
                  <w:rPr>
                    <w:rFonts w:ascii="Cambria Math" w:hAnsi="Cambria Math" w:cs="Arial"/>
                  </w:rPr>
                  <m:t>V =</m:t>
                </m:r>
                <m:sSup>
                  <m:sSupPr>
                    <m:ctrlPr>
                      <w:rPr>
                        <w:rFonts w:ascii="Cambria Math" w:hAnsi="Cambria Math" w:cs="Arial"/>
                        <w:i/>
                      </w:rPr>
                    </m:ctrlPr>
                  </m:sSupPr>
                  <m:e>
                    <m:r>
                      <w:rPr>
                        <w:rFonts w:ascii="Cambria Math" w:hAnsi="Cambria Math" w:cs="Arial"/>
                      </w:rPr>
                      <m:t>0.849 ∙r</m:t>
                    </m:r>
                  </m:e>
                  <m:sup>
                    <m:r>
                      <w:rPr>
                        <w:rFonts w:ascii="Cambria Math" w:hAnsi="Cambria Math" w:cs="Arial"/>
                      </w:rPr>
                      <m:t>0.63</m:t>
                    </m:r>
                  </m:sup>
                </m:sSup>
                <m:r>
                  <m:rPr>
                    <m:sty m:val="p"/>
                  </m:rPr>
                  <w:rPr>
                    <w:rFonts w:ascii="Cambria Math" w:hAnsi="Cambria Math" w:cs="Arial"/>
                  </w:rPr>
                  <m:t>∙</m:t>
                </m:r>
                <m:sSup>
                  <m:sSupPr>
                    <m:ctrlPr>
                      <w:rPr>
                        <w:rFonts w:ascii="Cambria Math" w:hAnsi="Cambria Math" w:cs="Arial"/>
                        <w:i/>
                      </w:rPr>
                    </m:ctrlPr>
                  </m:sSupPr>
                  <m:e>
                    <m:r>
                      <w:rPr>
                        <w:rFonts w:ascii="Cambria Math" w:hAnsi="Cambria Math" w:cs="Arial"/>
                      </w:rPr>
                      <m:t>S</m:t>
                    </m:r>
                  </m:e>
                  <m:sup>
                    <m:r>
                      <w:rPr>
                        <w:rFonts w:ascii="Cambria Math" w:hAnsi="Cambria Math" w:cs="Arial"/>
                      </w:rPr>
                      <m:t>0.54</m:t>
                    </m:r>
                  </m:sup>
                </m:sSup>
              </m:oMath>
            </m:oMathPara>
          </w:p>
        </w:tc>
        <w:tc>
          <w:tcPr>
            <w:tcW w:w="780" w:type="dxa"/>
            <w:shd w:val="clear" w:color="auto" w:fill="auto"/>
            <w:vAlign w:val="center"/>
          </w:tcPr>
          <w:p w14:paraId="433180AE" w14:textId="3E0CBE7A" w:rsidR="00D97A7A" w:rsidRPr="005D5E2B" w:rsidRDefault="00D97A7A" w:rsidP="00EC036F">
            <w:pPr>
              <w:pStyle w:val="CETEquation"/>
              <w:rPr>
                <w:rFonts w:cs="Arial"/>
              </w:rPr>
            </w:pPr>
            <w:r w:rsidRPr="005D5E2B">
              <w:rPr>
                <w:rFonts w:cs="Arial"/>
              </w:rPr>
              <w:t>(</w:t>
            </w:r>
            <w:r>
              <w:rPr>
                <w:rFonts w:cs="Arial"/>
              </w:rPr>
              <w:t>1</w:t>
            </w:r>
            <w:r w:rsidR="005218C6">
              <w:rPr>
                <w:rFonts w:cs="Arial"/>
              </w:rPr>
              <w:t>1</w:t>
            </w:r>
            <w:r w:rsidRPr="005D5E2B">
              <w:rPr>
                <w:rFonts w:cs="Arial"/>
              </w:rPr>
              <w:t>)</w:t>
            </w:r>
          </w:p>
        </w:tc>
      </w:tr>
      <w:tr w:rsidR="00375A77" w:rsidRPr="004B798B" w14:paraId="34E931F2" w14:textId="77777777" w:rsidTr="00EC036F">
        <w:tc>
          <w:tcPr>
            <w:tcW w:w="7500" w:type="dxa"/>
            <w:shd w:val="clear" w:color="auto" w:fill="auto"/>
            <w:vAlign w:val="center"/>
          </w:tcPr>
          <w:p w14:paraId="4C184E15" w14:textId="40A574E6" w:rsidR="00375A77" w:rsidRPr="005D5E2B" w:rsidRDefault="00187414" w:rsidP="00EC036F">
            <w:pPr>
              <w:pStyle w:val="CETEquation"/>
              <w:jc w:val="center"/>
              <w:rPr>
                <w:rFonts w:ascii="Cambria Math" w:hAnsi="Cambria Math" w:cs="Arial"/>
                <w:oMath/>
              </w:rPr>
            </w:pPr>
            <m:oMathPara>
              <m:oMath>
                <m:r>
                  <w:rPr>
                    <w:rFonts w:ascii="Cambria Math" w:hAnsi="Cambria Math" w:cs="Arial"/>
                  </w:rPr>
                  <m:t>r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w</m:t>
                        </m:r>
                      </m:sub>
                    </m:sSub>
                  </m:den>
                </m:f>
              </m:oMath>
            </m:oMathPara>
          </w:p>
        </w:tc>
        <w:tc>
          <w:tcPr>
            <w:tcW w:w="780" w:type="dxa"/>
            <w:shd w:val="clear" w:color="auto" w:fill="auto"/>
            <w:vAlign w:val="center"/>
          </w:tcPr>
          <w:p w14:paraId="5B7865E0" w14:textId="78422CB7" w:rsidR="00375A77" w:rsidRPr="005D5E2B" w:rsidRDefault="00375A77" w:rsidP="00EC036F">
            <w:pPr>
              <w:pStyle w:val="CETEquation"/>
              <w:rPr>
                <w:rFonts w:cs="Arial"/>
              </w:rPr>
            </w:pPr>
            <w:r w:rsidRPr="005D5E2B">
              <w:rPr>
                <w:rFonts w:cs="Arial"/>
              </w:rPr>
              <w:t>(</w:t>
            </w:r>
            <w:r>
              <w:rPr>
                <w:rFonts w:cs="Arial"/>
              </w:rPr>
              <w:t>1</w:t>
            </w:r>
            <w:r w:rsidR="005218C6">
              <w:rPr>
                <w:rFonts w:cs="Arial"/>
              </w:rPr>
              <w:t>2</w:t>
            </w:r>
            <w:r w:rsidRPr="005D5E2B">
              <w:rPr>
                <w:rFonts w:cs="Arial"/>
              </w:rPr>
              <w:t>)</w:t>
            </w:r>
          </w:p>
        </w:tc>
      </w:tr>
    </w:tbl>
    <w:p w14:paraId="52A1B29C" w14:textId="0D6D8446" w:rsidR="00F82BDF" w:rsidRPr="00627C58" w:rsidRDefault="00F82BDF" w:rsidP="0078686C">
      <w:pPr>
        <w:pStyle w:val="CETBodytext"/>
      </w:pPr>
      <w:r w:rsidRPr="00627C58">
        <w:t>while the flow</w:t>
      </w:r>
      <w:r w:rsidR="007E5BF1" w:rsidRPr="00627C58">
        <w:t xml:space="preserve">rate </w:t>
      </w:r>
      <w:r w:rsidRPr="00627C58">
        <w:t>Q</w:t>
      </w:r>
      <w:r w:rsidR="00936DDB" w:rsidRPr="0078686C">
        <w:rPr>
          <w:vertAlign w:val="subscript"/>
        </w:rPr>
        <w:t>open ch</w:t>
      </w:r>
      <w:r w:rsidRPr="00627C58">
        <w:t xml:space="preserve"> </w:t>
      </w:r>
      <w:r w:rsidR="00FB7412">
        <w:t>(</w:t>
      </w:r>
      <w:r w:rsidRPr="00627C58">
        <w:t>m</w:t>
      </w:r>
      <w:r w:rsidRPr="0078686C">
        <w:rPr>
          <w:vertAlign w:val="superscript"/>
        </w:rPr>
        <w:t>3</w:t>
      </w:r>
      <w:r w:rsidRPr="00627C58">
        <w:t>/s</w:t>
      </w:r>
      <w:r w:rsidR="00FB7412">
        <w:t>)</w:t>
      </w:r>
      <w:r w:rsidRPr="00627C58">
        <w:t xml:space="preserve"> is calculated with the following expression:</w:t>
      </w:r>
    </w:p>
    <w:tbl>
      <w:tblPr>
        <w:tblW w:w="5000" w:type="pct"/>
        <w:tblLook w:val="04A0" w:firstRow="1" w:lastRow="0" w:firstColumn="1" w:lastColumn="0" w:noHBand="0" w:noVBand="1"/>
      </w:tblPr>
      <w:tblGrid>
        <w:gridCol w:w="7959"/>
        <w:gridCol w:w="828"/>
      </w:tblGrid>
      <w:tr w:rsidR="006853E7" w:rsidRPr="004B798B" w14:paraId="5D279724" w14:textId="77777777" w:rsidTr="00EC036F">
        <w:tc>
          <w:tcPr>
            <w:tcW w:w="7500" w:type="dxa"/>
            <w:shd w:val="clear" w:color="auto" w:fill="auto"/>
            <w:vAlign w:val="center"/>
          </w:tcPr>
          <w:p w14:paraId="109E0147" w14:textId="0F2E5FEB" w:rsidR="006853E7" w:rsidRPr="005D5E2B" w:rsidRDefault="00000000" w:rsidP="00EC036F">
            <w:pPr>
              <w:pStyle w:val="CETEquation"/>
              <w:jc w:val="center"/>
              <w:rPr>
                <w:rFonts w:ascii="Cambria Math" w:hAnsi="Cambria Math" w:cs="Arial"/>
                <w:oMath/>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open ch</m:t>
                    </m:r>
                  </m:sub>
                </m:sSub>
                <m:r>
                  <w:rPr>
                    <w:rFonts w:ascii="Cambria Math" w:hAnsi="Cambria Math" w:cs="Arial"/>
                  </w:rPr>
                  <m:t xml:space="preserve"> =V ∙ </m:t>
                </m:r>
                <m:sSub>
                  <m:sSubPr>
                    <m:ctrlPr>
                      <w:rPr>
                        <w:rFonts w:ascii="Cambria Math" w:hAnsi="Cambria Math" w:cs="Arial"/>
                        <w:i/>
                      </w:rPr>
                    </m:ctrlPr>
                  </m:sSubPr>
                  <m:e>
                    <m:r>
                      <w:rPr>
                        <w:rFonts w:ascii="Cambria Math" w:hAnsi="Cambria Math" w:cs="Arial"/>
                      </w:rPr>
                      <m:t>A</m:t>
                    </m:r>
                  </m:e>
                  <m:sub>
                    <m:r>
                      <w:rPr>
                        <w:rFonts w:ascii="Cambria Math" w:hAnsi="Cambria Math" w:cs="Arial"/>
                      </w:rPr>
                      <m:t>w</m:t>
                    </m:r>
                  </m:sub>
                </m:sSub>
              </m:oMath>
            </m:oMathPara>
          </w:p>
        </w:tc>
        <w:tc>
          <w:tcPr>
            <w:tcW w:w="780" w:type="dxa"/>
            <w:shd w:val="clear" w:color="auto" w:fill="auto"/>
            <w:vAlign w:val="center"/>
          </w:tcPr>
          <w:p w14:paraId="18A3C0C9" w14:textId="14404876" w:rsidR="006853E7" w:rsidRPr="005D5E2B" w:rsidRDefault="006853E7" w:rsidP="00EC036F">
            <w:pPr>
              <w:pStyle w:val="CETEquation"/>
              <w:rPr>
                <w:rFonts w:cs="Arial"/>
              </w:rPr>
            </w:pPr>
            <w:r w:rsidRPr="005D5E2B">
              <w:rPr>
                <w:rFonts w:cs="Arial"/>
              </w:rPr>
              <w:t>(</w:t>
            </w:r>
            <w:r>
              <w:rPr>
                <w:rFonts w:cs="Arial"/>
              </w:rPr>
              <w:t>1</w:t>
            </w:r>
            <w:r w:rsidR="005218C6">
              <w:rPr>
                <w:rFonts w:cs="Arial"/>
              </w:rPr>
              <w:t>3</w:t>
            </w:r>
            <w:r w:rsidRPr="005D5E2B">
              <w:rPr>
                <w:rFonts w:cs="Arial"/>
              </w:rPr>
              <w:t>)</w:t>
            </w:r>
          </w:p>
        </w:tc>
      </w:tr>
    </w:tbl>
    <w:p w14:paraId="65E79E25" w14:textId="48B12D1D" w:rsidR="00E42BF6" w:rsidRPr="0095263D" w:rsidRDefault="00192610" w:rsidP="0078686C">
      <w:pPr>
        <w:pStyle w:val="CETBodytext"/>
      </w:pPr>
      <w:r w:rsidRPr="0078686C">
        <w:rPr>
          <w:lang w:val="en-GB"/>
        </w:rPr>
        <w:t xml:space="preserve">The Hazen and Williams roughness coefficient for pipes carrying foam solution depends on type and condition of pipe sewer surface material in contact with flow </w:t>
      </w:r>
      <w:r w:rsidR="00FB7412" w:rsidRPr="0078686C">
        <w:rPr>
          <w:lang w:val="en-GB"/>
        </w:rPr>
        <w:t>(</w:t>
      </w:r>
      <w:r w:rsidR="009A242E" w:rsidRPr="0078686C">
        <w:rPr>
          <w:lang w:val="en-GB"/>
        </w:rPr>
        <w:t>NFPA 11, 2024</w:t>
      </w:r>
      <w:r w:rsidR="00FB7412" w:rsidRPr="0078686C">
        <w:rPr>
          <w:lang w:val="en-GB"/>
        </w:rPr>
        <w:t>)</w:t>
      </w:r>
      <w:r w:rsidRPr="0078686C">
        <w:rPr>
          <w:lang w:val="en-GB"/>
        </w:rPr>
        <w:t>.</w:t>
      </w:r>
      <w:r w:rsidR="00356BE8" w:rsidRPr="0078686C">
        <w:rPr>
          <w:lang w:val="en-GB"/>
        </w:rPr>
        <w:t xml:space="preserve"> </w:t>
      </w:r>
      <w:r w:rsidR="00E42BF6" w:rsidRPr="0078686C">
        <w:rPr>
          <w:lang w:val="en-GB"/>
        </w:rPr>
        <w:t>For all water</w:t>
      </w:r>
      <w:r w:rsidR="00E42BF6" w:rsidRPr="00721A86">
        <w:rPr>
          <w:rFonts w:cs="Arial"/>
          <w:lang w:val="en-GB"/>
        </w:rPr>
        <w:t xml:space="preserve"> </w:t>
      </w:r>
      <w:r w:rsidR="00E42BF6" w:rsidRPr="0078686C">
        <w:rPr>
          <w:lang w:val="en-GB"/>
        </w:rPr>
        <w:t>collecting pipes a typical circular cross</w:t>
      </w:r>
      <w:r w:rsidR="00E42BF6" w:rsidRPr="00721A86">
        <w:rPr>
          <w:rFonts w:cs="Arial"/>
          <w:lang w:val="en-GB"/>
        </w:rPr>
        <w:t xml:space="preserve"> </w:t>
      </w:r>
      <w:r w:rsidR="00E42BF6" w:rsidRPr="0078686C">
        <w:rPr>
          <w:lang w:val="en-GB"/>
        </w:rPr>
        <w:t xml:space="preserve">section has been considered and pipes shall be at levels and gradients that ensure liquids are not retained in any part of drain system. </w:t>
      </w:r>
      <w:r w:rsidR="008064A5" w:rsidRPr="00721A86">
        <w:t>The calculated travel time is 10 minutes for FA-7 under analysis.</w:t>
      </w:r>
      <w:r w:rsidR="00356BE8">
        <w:t xml:space="preserve"> </w:t>
      </w:r>
      <w:r w:rsidR="008064A5" w:rsidRPr="0095263D">
        <w:t>For fire area FA-15</w:t>
      </w:r>
      <w:r w:rsidR="00B979B4">
        <w:t>,</w:t>
      </w:r>
      <w:r w:rsidR="008064A5" w:rsidRPr="0095263D">
        <w:t xml:space="preserve"> it is considered the progressive intervention of all deluge systems in the area (automatic and semi-automatic) + 2 fire monitors + 2 hydrants and 2 hose reels + the intervention of fire brigades after 15 minutes from the fire detection alarm that will discharge water and foam solution.</w:t>
      </w:r>
    </w:p>
    <w:p w14:paraId="03F7D6F5" w14:textId="747D1820" w:rsidR="001261C5" w:rsidRDefault="001261C5" w:rsidP="0078686C">
      <w:pPr>
        <w:pStyle w:val="CETTabletitle"/>
        <w:keepNext w:val="0"/>
        <w:widowControl w:val="0"/>
      </w:pPr>
      <w:r>
        <w:t xml:space="preserve">Table </w:t>
      </w:r>
      <w:r>
        <w:fldChar w:fldCharType="begin"/>
      </w:r>
      <w:r>
        <w:instrText xml:space="preserve"> SEQ Table \* ARABIC </w:instrText>
      </w:r>
      <w:r>
        <w:fldChar w:fldCharType="separate"/>
      </w:r>
      <w:r w:rsidR="008B16E4">
        <w:rPr>
          <w:noProof/>
        </w:rPr>
        <w:t>6</w:t>
      </w:r>
      <w:r>
        <w:fldChar w:fldCharType="end"/>
      </w:r>
      <w:r>
        <w:t>:</w:t>
      </w:r>
      <w:r w:rsidRPr="001261C5">
        <w:t xml:space="preserve"> Four Phases water run-off contribution</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40"/>
        <w:gridCol w:w="1260"/>
        <w:gridCol w:w="2070"/>
        <w:gridCol w:w="2610"/>
        <w:gridCol w:w="1350"/>
      </w:tblGrid>
      <w:tr w:rsidR="00362BA5" w:rsidRPr="00B57B36" w14:paraId="6341AE84" w14:textId="65D55605" w:rsidTr="005218C6">
        <w:trPr>
          <w:tblHeader/>
        </w:trPr>
        <w:tc>
          <w:tcPr>
            <w:tcW w:w="1440" w:type="dxa"/>
            <w:tcBorders>
              <w:top w:val="single" w:sz="12" w:space="0" w:color="008000"/>
              <w:bottom w:val="single" w:sz="6" w:space="0" w:color="008000"/>
            </w:tcBorders>
            <w:shd w:val="clear" w:color="auto" w:fill="FFFFFF"/>
          </w:tcPr>
          <w:p w14:paraId="7952FC6B" w14:textId="1AE589E7" w:rsidR="00E04D0E" w:rsidRPr="00B57B36" w:rsidRDefault="00E04D0E" w:rsidP="005218C6">
            <w:pPr>
              <w:pStyle w:val="CETBodytext"/>
              <w:widowControl w:val="0"/>
              <w:jc w:val="left"/>
              <w:rPr>
                <w:lang w:val="en-GB"/>
              </w:rPr>
            </w:pPr>
            <w:r>
              <w:rPr>
                <w:lang w:val="en-GB"/>
              </w:rPr>
              <w:t>Phase</w:t>
            </w:r>
          </w:p>
        </w:tc>
        <w:tc>
          <w:tcPr>
            <w:tcW w:w="1260" w:type="dxa"/>
            <w:tcBorders>
              <w:top w:val="single" w:sz="12" w:space="0" w:color="008000"/>
              <w:bottom w:val="single" w:sz="6" w:space="0" w:color="008000"/>
            </w:tcBorders>
            <w:shd w:val="clear" w:color="auto" w:fill="FFFFFF"/>
          </w:tcPr>
          <w:p w14:paraId="4E5C6944" w14:textId="05297758" w:rsidR="00E04D0E" w:rsidRPr="00B57B36" w:rsidRDefault="00E04D0E" w:rsidP="008F726D">
            <w:pPr>
              <w:pStyle w:val="CETBodytext"/>
              <w:widowControl w:val="0"/>
              <w:jc w:val="center"/>
              <w:rPr>
                <w:lang w:val="en-GB"/>
              </w:rPr>
            </w:pPr>
            <w:r>
              <w:rPr>
                <w:lang w:val="en-GB"/>
              </w:rPr>
              <w:t>Phase 1</w:t>
            </w:r>
          </w:p>
        </w:tc>
        <w:tc>
          <w:tcPr>
            <w:tcW w:w="2070" w:type="dxa"/>
            <w:tcBorders>
              <w:top w:val="single" w:sz="12" w:space="0" w:color="008000"/>
              <w:bottom w:val="single" w:sz="6" w:space="0" w:color="008000"/>
            </w:tcBorders>
            <w:shd w:val="clear" w:color="auto" w:fill="FFFFFF"/>
          </w:tcPr>
          <w:p w14:paraId="4A3F3B88" w14:textId="0E0F5360" w:rsidR="00E04D0E" w:rsidRPr="00514983" w:rsidRDefault="00E04D0E" w:rsidP="008F726D">
            <w:pPr>
              <w:pStyle w:val="CETBodytext"/>
              <w:widowControl w:val="0"/>
              <w:ind w:right="-1"/>
              <w:jc w:val="center"/>
              <w:rPr>
                <w:rFonts w:cs="Arial"/>
                <w:szCs w:val="18"/>
                <w:lang w:val="en-GB"/>
              </w:rPr>
            </w:pPr>
            <w:r>
              <w:rPr>
                <w:rFonts w:cs="Arial"/>
                <w:szCs w:val="18"/>
                <w:lang w:val="en-GB"/>
              </w:rPr>
              <w:t>Phase 2</w:t>
            </w:r>
          </w:p>
        </w:tc>
        <w:tc>
          <w:tcPr>
            <w:tcW w:w="2610" w:type="dxa"/>
            <w:tcBorders>
              <w:top w:val="single" w:sz="12" w:space="0" w:color="008000"/>
              <w:bottom w:val="single" w:sz="6" w:space="0" w:color="008000"/>
            </w:tcBorders>
            <w:shd w:val="clear" w:color="auto" w:fill="FFFFFF"/>
          </w:tcPr>
          <w:p w14:paraId="76DBA479" w14:textId="31A0281E" w:rsidR="00E04D0E" w:rsidRPr="00514983" w:rsidRDefault="00E04D0E" w:rsidP="008F726D">
            <w:pPr>
              <w:pStyle w:val="CETBodytext"/>
              <w:widowControl w:val="0"/>
              <w:ind w:right="-1"/>
              <w:jc w:val="center"/>
              <w:rPr>
                <w:rFonts w:cs="Arial"/>
                <w:szCs w:val="18"/>
                <w:lang w:val="en-GB"/>
              </w:rPr>
            </w:pPr>
            <w:r>
              <w:rPr>
                <w:rFonts w:cs="Arial"/>
                <w:szCs w:val="18"/>
                <w:lang w:val="en-GB"/>
              </w:rPr>
              <w:t>Phase 3</w:t>
            </w:r>
          </w:p>
        </w:tc>
        <w:tc>
          <w:tcPr>
            <w:tcW w:w="1350" w:type="dxa"/>
            <w:tcBorders>
              <w:top w:val="single" w:sz="12" w:space="0" w:color="008000"/>
              <w:bottom w:val="single" w:sz="6" w:space="0" w:color="008000"/>
            </w:tcBorders>
            <w:shd w:val="clear" w:color="auto" w:fill="FFFFFF"/>
          </w:tcPr>
          <w:p w14:paraId="4451FD6B" w14:textId="1DE7ACFC" w:rsidR="00E04D0E" w:rsidRDefault="00E04D0E" w:rsidP="008F726D">
            <w:pPr>
              <w:pStyle w:val="CETBodytext"/>
              <w:widowControl w:val="0"/>
              <w:ind w:right="-1"/>
              <w:jc w:val="center"/>
              <w:rPr>
                <w:rFonts w:cs="Arial"/>
                <w:szCs w:val="18"/>
                <w:lang w:val="en-GB"/>
              </w:rPr>
            </w:pPr>
            <w:r>
              <w:rPr>
                <w:rFonts w:cs="Arial"/>
                <w:szCs w:val="18"/>
                <w:lang w:val="en-GB"/>
              </w:rPr>
              <w:t>Phase 4</w:t>
            </w:r>
          </w:p>
        </w:tc>
      </w:tr>
      <w:tr w:rsidR="00362BA5" w:rsidRPr="00B57B36" w14:paraId="69B7E3DF" w14:textId="39F79814" w:rsidTr="00AC16A7">
        <w:trPr>
          <w:trHeight w:val="1029"/>
        </w:trPr>
        <w:tc>
          <w:tcPr>
            <w:tcW w:w="1440" w:type="dxa"/>
            <w:shd w:val="clear" w:color="auto" w:fill="FFFFFF"/>
            <w:vAlign w:val="center"/>
          </w:tcPr>
          <w:p w14:paraId="195C9197" w14:textId="77777777" w:rsidR="00E04D0E" w:rsidRPr="00FB1C69" w:rsidRDefault="00E553DB" w:rsidP="005218C6">
            <w:pPr>
              <w:pStyle w:val="CETBodytext"/>
              <w:widowControl w:val="0"/>
              <w:jc w:val="left"/>
              <w:rPr>
                <w:rFonts w:cs="Arial"/>
                <w:b/>
                <w:bCs/>
                <w:szCs w:val="18"/>
              </w:rPr>
            </w:pPr>
            <w:r w:rsidRPr="00FB1C69">
              <w:rPr>
                <w:rFonts w:cs="Arial"/>
                <w:b/>
                <w:bCs/>
                <w:szCs w:val="18"/>
              </w:rPr>
              <w:t>Time duration</w:t>
            </w:r>
          </w:p>
          <w:p w14:paraId="69D0E1D5" w14:textId="003CBE46" w:rsidR="00CD57F2" w:rsidRPr="00FB1C69" w:rsidRDefault="00FB7412" w:rsidP="005218C6">
            <w:pPr>
              <w:pStyle w:val="CETBodytext"/>
              <w:widowControl w:val="0"/>
              <w:jc w:val="left"/>
              <w:rPr>
                <w:b/>
                <w:bCs/>
                <w:szCs w:val="18"/>
                <w:lang w:val="en-GB"/>
              </w:rPr>
            </w:pPr>
            <w:r>
              <w:rPr>
                <w:b/>
                <w:bCs/>
                <w:szCs w:val="18"/>
              </w:rPr>
              <w:t>(</w:t>
            </w:r>
            <w:r w:rsidR="00CD57F2" w:rsidRPr="00FB1C69">
              <w:rPr>
                <w:b/>
                <w:bCs/>
                <w:szCs w:val="18"/>
              </w:rPr>
              <w:t>min</w:t>
            </w:r>
            <w:r>
              <w:rPr>
                <w:b/>
                <w:bCs/>
                <w:szCs w:val="18"/>
              </w:rPr>
              <w:t>)</w:t>
            </w:r>
          </w:p>
        </w:tc>
        <w:tc>
          <w:tcPr>
            <w:tcW w:w="1260" w:type="dxa"/>
            <w:shd w:val="clear" w:color="auto" w:fill="FFFFFF"/>
            <w:vAlign w:val="center"/>
          </w:tcPr>
          <w:p w14:paraId="0D748717" w14:textId="0C406C8A" w:rsidR="00E04D0E" w:rsidRPr="00CC3CEA" w:rsidRDefault="00CD57F2" w:rsidP="008F726D">
            <w:pPr>
              <w:pStyle w:val="CETBodytext"/>
              <w:widowControl w:val="0"/>
              <w:jc w:val="center"/>
              <w:rPr>
                <w:szCs w:val="18"/>
                <w:lang w:val="en-GB"/>
              </w:rPr>
            </w:pPr>
            <w:r>
              <w:rPr>
                <w:szCs w:val="18"/>
                <w:lang w:val="en-GB"/>
              </w:rPr>
              <w:t>10</w:t>
            </w:r>
          </w:p>
        </w:tc>
        <w:tc>
          <w:tcPr>
            <w:tcW w:w="2070" w:type="dxa"/>
            <w:shd w:val="clear" w:color="auto" w:fill="FFFFFF"/>
            <w:vAlign w:val="center"/>
          </w:tcPr>
          <w:p w14:paraId="4A6F479C" w14:textId="2B910BA4" w:rsidR="00E04D0E" w:rsidRPr="00514983" w:rsidRDefault="00CD57F2" w:rsidP="008F726D">
            <w:pPr>
              <w:pStyle w:val="CETBodytext"/>
              <w:widowControl w:val="0"/>
              <w:ind w:right="-1"/>
              <w:jc w:val="center"/>
              <w:rPr>
                <w:rFonts w:cs="Arial"/>
                <w:szCs w:val="18"/>
                <w:lang w:val="en-GB"/>
              </w:rPr>
            </w:pPr>
            <w:r>
              <w:rPr>
                <w:rFonts w:cs="Arial"/>
                <w:szCs w:val="18"/>
                <w:lang w:val="en-GB"/>
              </w:rPr>
              <w:t>5</w:t>
            </w:r>
          </w:p>
        </w:tc>
        <w:tc>
          <w:tcPr>
            <w:tcW w:w="2610" w:type="dxa"/>
            <w:shd w:val="clear" w:color="auto" w:fill="FFFFFF"/>
            <w:vAlign w:val="center"/>
          </w:tcPr>
          <w:p w14:paraId="2A1B05BD" w14:textId="2224BEB7" w:rsidR="00E04D0E" w:rsidRDefault="00CD57F2" w:rsidP="008F726D">
            <w:pPr>
              <w:pStyle w:val="CETBodytext"/>
              <w:widowControl w:val="0"/>
              <w:ind w:right="-1"/>
              <w:jc w:val="center"/>
              <w:rPr>
                <w:rFonts w:cs="Arial"/>
                <w:szCs w:val="18"/>
                <w:lang w:val="en-GB"/>
              </w:rPr>
            </w:pPr>
            <w:r>
              <w:rPr>
                <w:rFonts w:cs="Arial"/>
                <w:szCs w:val="18"/>
                <w:lang w:val="en-GB"/>
              </w:rPr>
              <w:t>65</w:t>
            </w:r>
          </w:p>
        </w:tc>
        <w:tc>
          <w:tcPr>
            <w:tcW w:w="1350" w:type="dxa"/>
            <w:shd w:val="clear" w:color="auto" w:fill="FFFFFF"/>
            <w:vAlign w:val="center"/>
          </w:tcPr>
          <w:p w14:paraId="6A91F8D3" w14:textId="226383CE" w:rsidR="00E04D0E" w:rsidRDefault="00CD57F2" w:rsidP="008F726D">
            <w:pPr>
              <w:pStyle w:val="CETBodytext"/>
              <w:widowControl w:val="0"/>
              <w:ind w:right="-1"/>
              <w:jc w:val="center"/>
              <w:rPr>
                <w:rFonts w:cs="Arial"/>
                <w:szCs w:val="18"/>
                <w:lang w:val="en-GB"/>
              </w:rPr>
            </w:pPr>
            <w:r>
              <w:rPr>
                <w:rFonts w:cs="Arial"/>
                <w:szCs w:val="18"/>
                <w:lang w:val="en-GB"/>
              </w:rPr>
              <w:t>10</w:t>
            </w:r>
          </w:p>
        </w:tc>
      </w:tr>
      <w:tr w:rsidR="00CD57F2" w:rsidRPr="00B57B36" w14:paraId="02C00227" w14:textId="77777777" w:rsidTr="00AC16A7">
        <w:trPr>
          <w:trHeight w:val="651"/>
        </w:trPr>
        <w:tc>
          <w:tcPr>
            <w:tcW w:w="1440" w:type="dxa"/>
            <w:shd w:val="clear" w:color="auto" w:fill="FFFFFF"/>
            <w:vAlign w:val="center"/>
          </w:tcPr>
          <w:p w14:paraId="0D24B93E" w14:textId="1D7D8D2F" w:rsidR="00CD57F2" w:rsidRPr="00FB1C69" w:rsidRDefault="00CD57F2" w:rsidP="005218C6">
            <w:pPr>
              <w:pStyle w:val="CETBodytext"/>
              <w:widowControl w:val="0"/>
              <w:jc w:val="left"/>
              <w:rPr>
                <w:rFonts w:cs="Arial"/>
                <w:b/>
                <w:bCs/>
                <w:szCs w:val="18"/>
              </w:rPr>
            </w:pPr>
            <w:r w:rsidRPr="00FB1C69">
              <w:rPr>
                <w:rFonts w:cs="Arial"/>
                <w:b/>
                <w:bCs/>
                <w:szCs w:val="18"/>
              </w:rPr>
              <w:lastRenderedPageBreak/>
              <w:t>C</w:t>
            </w:r>
            <w:r w:rsidR="00FB1C69" w:rsidRPr="00FB1C69">
              <w:rPr>
                <w:rFonts w:cs="Arial"/>
                <w:b/>
                <w:bCs/>
                <w:szCs w:val="18"/>
              </w:rPr>
              <w:t>ontribution</w:t>
            </w:r>
          </w:p>
        </w:tc>
        <w:tc>
          <w:tcPr>
            <w:tcW w:w="1260" w:type="dxa"/>
            <w:shd w:val="clear" w:color="auto" w:fill="FFFFFF"/>
            <w:vAlign w:val="center"/>
          </w:tcPr>
          <w:p w14:paraId="54E336BF" w14:textId="0F4459EA" w:rsidR="00CD57F2" w:rsidRDefault="00FB1C69" w:rsidP="008F726D">
            <w:pPr>
              <w:pStyle w:val="CETBodytext"/>
              <w:widowControl w:val="0"/>
              <w:jc w:val="left"/>
              <w:rPr>
                <w:szCs w:val="18"/>
                <w:lang w:val="en-GB"/>
              </w:rPr>
            </w:pPr>
            <w:r w:rsidRPr="00FB1C69">
              <w:rPr>
                <w:szCs w:val="18"/>
                <w:lang w:val="en-GB"/>
              </w:rPr>
              <w:t>Automatic deluge discharge</w:t>
            </w:r>
            <w:r w:rsidR="008F726D">
              <w:rPr>
                <w:szCs w:val="18"/>
                <w:lang w:val="en-GB"/>
              </w:rPr>
              <w:t xml:space="preserve"> </w:t>
            </w:r>
            <w:r w:rsidRPr="00FB1C69">
              <w:rPr>
                <w:szCs w:val="18"/>
                <w:lang w:val="en-GB"/>
              </w:rPr>
              <w:t>till operator intervention</w:t>
            </w:r>
          </w:p>
        </w:tc>
        <w:tc>
          <w:tcPr>
            <w:tcW w:w="2070" w:type="dxa"/>
            <w:shd w:val="clear" w:color="auto" w:fill="FFFFFF"/>
            <w:vAlign w:val="center"/>
          </w:tcPr>
          <w:p w14:paraId="2BB81235" w14:textId="09313C97" w:rsidR="00CD57F2" w:rsidRDefault="00FB1C69" w:rsidP="008F726D">
            <w:pPr>
              <w:pStyle w:val="CETBodytext"/>
              <w:widowControl w:val="0"/>
              <w:ind w:right="-1"/>
              <w:jc w:val="left"/>
              <w:rPr>
                <w:rFonts w:cs="Arial"/>
                <w:szCs w:val="18"/>
                <w:lang w:val="en-GB"/>
              </w:rPr>
            </w:pPr>
            <w:r w:rsidRPr="00FB1C69">
              <w:rPr>
                <w:rFonts w:cs="Arial"/>
                <w:szCs w:val="18"/>
                <w:lang w:val="en-GB"/>
              </w:rPr>
              <w:t>Activation of semi-automatic deluge by operator + FW monitors and hydrants discharge</w:t>
            </w:r>
          </w:p>
        </w:tc>
        <w:tc>
          <w:tcPr>
            <w:tcW w:w="2610" w:type="dxa"/>
            <w:shd w:val="clear" w:color="auto" w:fill="FFFFFF"/>
            <w:vAlign w:val="center"/>
          </w:tcPr>
          <w:p w14:paraId="4F9F4668" w14:textId="274D04D1" w:rsidR="00CD57F2" w:rsidRDefault="00FB1C69" w:rsidP="008F726D">
            <w:pPr>
              <w:pStyle w:val="CETBodytext"/>
              <w:widowControl w:val="0"/>
              <w:ind w:right="-1"/>
              <w:jc w:val="left"/>
              <w:rPr>
                <w:rFonts w:cs="Arial"/>
                <w:szCs w:val="18"/>
                <w:lang w:val="en-GB"/>
              </w:rPr>
            </w:pPr>
            <w:r w:rsidRPr="00FB1C69">
              <w:rPr>
                <w:rFonts w:cs="Arial"/>
                <w:szCs w:val="18"/>
                <w:lang w:val="en-GB"/>
              </w:rPr>
              <w:t>FW monitors and hydrants discharge + automatic/semi-automatic deluge systems + fire brigade intervention (foam and water discharge)</w:t>
            </w:r>
          </w:p>
        </w:tc>
        <w:tc>
          <w:tcPr>
            <w:tcW w:w="1350" w:type="dxa"/>
            <w:shd w:val="clear" w:color="auto" w:fill="FFFFFF"/>
            <w:vAlign w:val="center"/>
          </w:tcPr>
          <w:p w14:paraId="2C5CE4BD" w14:textId="7D9B3823" w:rsidR="00CD57F2" w:rsidRDefault="00FB1C69" w:rsidP="008F726D">
            <w:pPr>
              <w:pStyle w:val="CETBodytext"/>
              <w:widowControl w:val="0"/>
              <w:ind w:right="-1"/>
              <w:jc w:val="left"/>
              <w:rPr>
                <w:rFonts w:cs="Arial"/>
                <w:szCs w:val="18"/>
                <w:lang w:val="en-GB"/>
              </w:rPr>
            </w:pPr>
            <w:r>
              <w:rPr>
                <w:rFonts w:cs="Arial"/>
              </w:rPr>
              <w:t>D</w:t>
            </w:r>
            <w:r w:rsidRPr="00627C58">
              <w:rPr>
                <w:rFonts w:cs="Arial"/>
              </w:rPr>
              <w:t>eluge discharge for cooling of equipment</w:t>
            </w:r>
          </w:p>
        </w:tc>
      </w:tr>
    </w:tbl>
    <w:p w14:paraId="1D14424F" w14:textId="77777777" w:rsidR="006F7BBC" w:rsidRDefault="006F7BBC" w:rsidP="00BF7285">
      <w:pPr>
        <w:pStyle w:val="CETBodytext"/>
      </w:pPr>
    </w:p>
    <w:p w14:paraId="4520B6A4" w14:textId="0222ADC4" w:rsidR="000D661F" w:rsidRPr="00627C58" w:rsidRDefault="000D661F" w:rsidP="0078686C">
      <w:pPr>
        <w:pStyle w:val="CETBodytext"/>
      </w:pPr>
      <w:r w:rsidRPr="00627C58">
        <w:t xml:space="preserve">The following assumptions have been made: </w:t>
      </w:r>
    </w:p>
    <w:p w14:paraId="187E8652" w14:textId="70E9F041" w:rsidR="000D661F" w:rsidRPr="00627C58" w:rsidRDefault="000D661F" w:rsidP="0078686C">
      <w:pPr>
        <w:pStyle w:val="CETBodytext"/>
        <w:numPr>
          <w:ilvl w:val="0"/>
          <w:numId w:val="30"/>
        </w:numPr>
      </w:pPr>
      <w:r w:rsidRPr="00627C58">
        <w:t>FW monitors flowrate considered for design purposes is 170 m³/h at a pressure of 8.5 kg/cm²g</w:t>
      </w:r>
      <w:r w:rsidR="0093530C">
        <w:t xml:space="preserve">, </w:t>
      </w:r>
      <w:r w:rsidR="00AE2107">
        <w:t xml:space="preserve">for </w:t>
      </w:r>
      <w:r w:rsidRPr="00627C58">
        <w:t>hydrants and hose reels the flowrate is 239 m³/h at a pressure of 8.5 kg/cm²g</w:t>
      </w:r>
      <w:r w:rsidR="00356BE8">
        <w:t xml:space="preserve">, </w:t>
      </w:r>
      <w:r w:rsidRPr="00627C58">
        <w:t>for fire water truck of fire-brigades is 330 m³/h</w:t>
      </w:r>
      <w:r w:rsidR="001D5FBF">
        <w:t>.</w:t>
      </w:r>
    </w:p>
    <w:p w14:paraId="47659CB8" w14:textId="16F02B4A" w:rsidR="000D661F" w:rsidRPr="00627C58" w:rsidRDefault="000D661F" w:rsidP="0078686C">
      <w:pPr>
        <w:pStyle w:val="CETBodytext"/>
        <w:numPr>
          <w:ilvl w:val="0"/>
          <w:numId w:val="30"/>
        </w:numPr>
      </w:pPr>
      <w:r w:rsidRPr="00627C58">
        <w:t>In FA-7 under analysis, three semi-automatic deluge system are foreseen. Their contribution in terms of FW is 847 m</w:t>
      </w:r>
      <w:r w:rsidRPr="0078686C">
        <w:rPr>
          <w:vertAlign w:val="superscript"/>
        </w:rPr>
        <w:t>3</w:t>
      </w:r>
      <w:r w:rsidRPr="00627C58">
        <w:t>/h</w:t>
      </w:r>
      <w:r w:rsidR="001D5FBF">
        <w:t>.</w:t>
      </w:r>
      <w:r w:rsidR="00AE2107">
        <w:t xml:space="preserve"> </w:t>
      </w:r>
      <w:r w:rsidRPr="00627C58">
        <w:t>In FA-15 three automatic deluge system are foreseen. Their contribution in terms of FW is 684 m</w:t>
      </w:r>
      <w:r w:rsidRPr="0078686C">
        <w:rPr>
          <w:vertAlign w:val="superscript"/>
        </w:rPr>
        <w:t>3</w:t>
      </w:r>
      <w:r w:rsidRPr="00627C58">
        <w:t>/h. The activation of FA-15 also determines the activation of semi-automatic system in</w:t>
      </w:r>
      <w:r w:rsidR="00273B05">
        <w:t xml:space="preserve"> </w:t>
      </w:r>
      <w:r w:rsidR="0043535C">
        <w:t>the nearby area with further</w:t>
      </w:r>
      <w:r w:rsidRPr="00627C58">
        <w:t xml:space="preserve"> contribution in terms of FW </w:t>
      </w:r>
      <w:r w:rsidR="0043535C">
        <w:t>of</w:t>
      </w:r>
      <w:r w:rsidRPr="00627C58">
        <w:t xml:space="preserve"> 446 m</w:t>
      </w:r>
      <w:r w:rsidRPr="0078686C">
        <w:rPr>
          <w:vertAlign w:val="superscript"/>
        </w:rPr>
        <w:t>3</w:t>
      </w:r>
      <w:r w:rsidRPr="00627C58">
        <w:t>/h.</w:t>
      </w:r>
    </w:p>
    <w:p w14:paraId="203A1D55" w14:textId="1C024CAA" w:rsidR="000D661F" w:rsidRPr="00891ECE" w:rsidRDefault="000D661F" w:rsidP="0078686C">
      <w:pPr>
        <w:pStyle w:val="CETBodytext"/>
        <w:numPr>
          <w:ilvl w:val="0"/>
          <w:numId w:val="30"/>
        </w:numPr>
      </w:pPr>
      <w:r w:rsidRPr="00627C58">
        <w:t>The discharged foam solution by fire truck is calculated considering the application density of 6.5 l/min m</w:t>
      </w:r>
      <w:r w:rsidRPr="0078686C">
        <w:rPr>
          <w:vertAlign w:val="superscript"/>
        </w:rPr>
        <w:t>2</w:t>
      </w:r>
      <w:r w:rsidRPr="00627C58">
        <w:t xml:space="preserve"> for 65 minutes </w:t>
      </w:r>
      <w:r w:rsidR="00FB7412" w:rsidRPr="00F354F9">
        <w:t>(</w:t>
      </w:r>
      <w:r w:rsidR="008D2F56" w:rsidRPr="00F354F9">
        <w:t>NFPA 11</w:t>
      </w:r>
      <w:r w:rsidR="00F354F9" w:rsidRPr="00F354F9">
        <w:t>, 2024</w:t>
      </w:r>
      <w:r w:rsidR="00FB7412" w:rsidRPr="00F354F9">
        <w:t>)</w:t>
      </w:r>
      <w:r w:rsidRPr="00627C58">
        <w:t xml:space="preserve"> on the pool surface of 232 m² </w:t>
      </w:r>
      <w:r w:rsidR="00FB7412" w:rsidRPr="00891ECE">
        <w:t>(</w:t>
      </w:r>
      <w:r w:rsidR="00683511" w:rsidRPr="00891ECE">
        <w:t>API 521</w:t>
      </w:r>
      <w:r w:rsidR="00294D2A" w:rsidRPr="00891ECE">
        <w:t>, 2022</w:t>
      </w:r>
      <w:r w:rsidR="00FB7412" w:rsidRPr="00891ECE">
        <w:t>)</w:t>
      </w:r>
      <w:r w:rsidR="001D5FBF">
        <w:t>.</w:t>
      </w:r>
    </w:p>
    <w:p w14:paraId="68C2C7B6" w14:textId="16B96188" w:rsidR="008567C8" w:rsidRPr="00627C58" w:rsidRDefault="000D661F" w:rsidP="0078686C">
      <w:pPr>
        <w:pStyle w:val="CETBodytext"/>
        <w:numPr>
          <w:ilvl w:val="0"/>
          <w:numId w:val="30"/>
        </w:numPr>
      </w:pPr>
      <w:r w:rsidRPr="00627C58">
        <w:t>30</w:t>
      </w:r>
      <w:r w:rsidR="00A707FC">
        <w:t xml:space="preserve"> </w:t>
      </w:r>
      <w:r w:rsidRPr="00627C58">
        <w:t>% of discharged fire water will evaporate or dispersed by wind in the surrounding areas and does not reach the retention basin (evaporation phenomena + wind effect)</w:t>
      </w:r>
      <w:r w:rsidR="001D5FBF">
        <w:t>.</w:t>
      </w:r>
    </w:p>
    <w:p w14:paraId="23A4D4A8" w14:textId="0BF0DCD6" w:rsidR="001261C5" w:rsidRDefault="001261C5" w:rsidP="0078686C">
      <w:pPr>
        <w:pStyle w:val="CETTabletitle"/>
        <w:jc w:val="center"/>
      </w:pPr>
      <w:bookmarkStart w:id="3" w:name="_Ref177392926"/>
      <w:bookmarkStart w:id="4" w:name="_Ref177460849"/>
      <w:r>
        <w:t xml:space="preserve">Table </w:t>
      </w:r>
      <w:r>
        <w:fldChar w:fldCharType="begin"/>
      </w:r>
      <w:r>
        <w:instrText xml:space="preserve"> SEQ Table \* ARABIC </w:instrText>
      </w:r>
      <w:r>
        <w:fldChar w:fldCharType="separate"/>
      </w:r>
      <w:r w:rsidR="008B16E4">
        <w:rPr>
          <w:noProof/>
        </w:rPr>
        <w:t>7</w:t>
      </w:r>
      <w:r>
        <w:fldChar w:fldCharType="end"/>
      </w:r>
      <w:bookmarkEnd w:id="3"/>
      <w:r>
        <w:t xml:space="preserve">: </w:t>
      </w:r>
      <w:r w:rsidRPr="001261C5">
        <w:t>Four Phases - FW runoff retention Volume R (m</w:t>
      </w:r>
      <w:r w:rsidRPr="0078686C">
        <w:rPr>
          <w:vertAlign w:val="superscript"/>
        </w:rPr>
        <w:t>3</w:t>
      </w:r>
      <w:r w:rsidRPr="001261C5">
        <w:t>)</w:t>
      </w:r>
      <w:bookmarkEnd w:id="4"/>
    </w:p>
    <w:tbl>
      <w:tblPr>
        <w:tblW w:w="4320" w:type="dxa"/>
        <w:tblInd w:w="20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0"/>
        <w:gridCol w:w="1630"/>
      </w:tblGrid>
      <w:tr w:rsidR="00FB0C3B" w:rsidRPr="00B57B36" w14:paraId="02FE9718" w14:textId="77777777" w:rsidTr="00581918">
        <w:tc>
          <w:tcPr>
            <w:tcW w:w="2690" w:type="dxa"/>
            <w:tcBorders>
              <w:top w:val="single" w:sz="12" w:space="0" w:color="008000"/>
              <w:bottom w:val="single" w:sz="6" w:space="0" w:color="008000"/>
            </w:tcBorders>
            <w:shd w:val="clear" w:color="auto" w:fill="FFFFFF"/>
          </w:tcPr>
          <w:p w14:paraId="22EB73BE" w14:textId="77777777" w:rsidR="00FB0C3B" w:rsidRPr="00B57B36" w:rsidRDefault="00FB0C3B" w:rsidP="008A57AC">
            <w:pPr>
              <w:pStyle w:val="CETBodytext"/>
              <w:jc w:val="left"/>
              <w:rPr>
                <w:lang w:val="en-GB"/>
              </w:rPr>
            </w:pPr>
            <w:r w:rsidRPr="00DA4954">
              <w:rPr>
                <w:lang w:val="en-GB"/>
              </w:rPr>
              <w:t xml:space="preserve">Area </w:t>
            </w:r>
          </w:p>
        </w:tc>
        <w:tc>
          <w:tcPr>
            <w:tcW w:w="1630" w:type="dxa"/>
            <w:tcBorders>
              <w:top w:val="single" w:sz="12" w:space="0" w:color="008000"/>
              <w:bottom w:val="single" w:sz="6" w:space="0" w:color="008000"/>
            </w:tcBorders>
            <w:shd w:val="clear" w:color="auto" w:fill="FFFFFF"/>
          </w:tcPr>
          <w:p w14:paraId="5E9E891A" w14:textId="40AE170E" w:rsidR="00FB0C3B" w:rsidRPr="00514983" w:rsidRDefault="00FB0C3B" w:rsidP="008A57AC">
            <w:pPr>
              <w:pStyle w:val="CETBodytext"/>
              <w:ind w:right="-1"/>
              <w:jc w:val="left"/>
              <w:rPr>
                <w:rFonts w:cs="Arial"/>
                <w:szCs w:val="18"/>
                <w:lang w:val="en-GB"/>
              </w:rPr>
            </w:pPr>
            <w:r w:rsidRPr="00514983">
              <w:rPr>
                <w:rFonts w:cs="Arial"/>
                <w:szCs w:val="18"/>
                <w:lang w:val="en-GB"/>
              </w:rPr>
              <w:t xml:space="preserve">FW Retention volume </w:t>
            </w:r>
            <w:r w:rsidR="00FB7412">
              <w:rPr>
                <w:rFonts w:cs="Arial"/>
                <w:szCs w:val="18"/>
                <w:lang w:val="en-GB"/>
              </w:rPr>
              <w:t>(</w:t>
            </w:r>
            <w:r w:rsidRPr="00514983">
              <w:rPr>
                <w:rFonts w:cs="Arial"/>
                <w:szCs w:val="18"/>
                <w:lang w:val="en-GB"/>
              </w:rPr>
              <w:t>m</w:t>
            </w:r>
            <w:r w:rsidRPr="00514983">
              <w:rPr>
                <w:rFonts w:cs="Arial"/>
                <w:szCs w:val="18"/>
                <w:vertAlign w:val="superscript"/>
                <w:lang w:val="en-GB"/>
              </w:rPr>
              <w:t>3</w:t>
            </w:r>
            <w:r w:rsidR="00FB7412">
              <w:rPr>
                <w:rFonts w:cs="Arial"/>
                <w:szCs w:val="18"/>
                <w:lang w:val="en-GB"/>
              </w:rPr>
              <w:t>)</w:t>
            </w:r>
          </w:p>
        </w:tc>
      </w:tr>
      <w:tr w:rsidR="00FB0C3B" w:rsidRPr="00B57B36" w14:paraId="02202F16" w14:textId="77777777" w:rsidTr="00581918">
        <w:trPr>
          <w:trHeight w:val="651"/>
        </w:trPr>
        <w:tc>
          <w:tcPr>
            <w:tcW w:w="2690" w:type="dxa"/>
            <w:tcBorders>
              <w:top w:val="single" w:sz="6" w:space="0" w:color="008000"/>
              <w:bottom w:val="nil"/>
            </w:tcBorders>
            <w:shd w:val="clear" w:color="auto" w:fill="FFFFFF"/>
            <w:vAlign w:val="center"/>
          </w:tcPr>
          <w:p w14:paraId="7BF735BA" w14:textId="2C75DCD9" w:rsidR="00FB0C3B" w:rsidRPr="00CC3CEA" w:rsidRDefault="00FB0C3B" w:rsidP="008A57AC">
            <w:pPr>
              <w:pStyle w:val="CETBodytext"/>
              <w:jc w:val="left"/>
              <w:rPr>
                <w:szCs w:val="18"/>
                <w:lang w:val="en-GB"/>
              </w:rPr>
            </w:pPr>
            <w:r w:rsidRPr="00CC3CEA">
              <w:rPr>
                <w:rFonts w:cs="Arial"/>
                <w:szCs w:val="18"/>
              </w:rPr>
              <w:t xml:space="preserve">FA-7 </w:t>
            </w:r>
          </w:p>
        </w:tc>
        <w:tc>
          <w:tcPr>
            <w:tcW w:w="1630" w:type="dxa"/>
            <w:tcBorders>
              <w:top w:val="single" w:sz="6" w:space="0" w:color="008000"/>
              <w:bottom w:val="nil"/>
            </w:tcBorders>
            <w:shd w:val="clear" w:color="auto" w:fill="FFFFFF"/>
            <w:vAlign w:val="center"/>
          </w:tcPr>
          <w:p w14:paraId="6C7C92FF" w14:textId="61841AAD" w:rsidR="00FB0C3B" w:rsidRPr="00514983" w:rsidRDefault="00FB0C3B" w:rsidP="008A57AC">
            <w:pPr>
              <w:pStyle w:val="CETBodytext"/>
              <w:ind w:right="-1"/>
              <w:jc w:val="left"/>
              <w:rPr>
                <w:rFonts w:cs="Arial"/>
                <w:szCs w:val="18"/>
                <w:lang w:val="en-GB"/>
              </w:rPr>
            </w:pPr>
            <w:r>
              <w:rPr>
                <w:rFonts w:cs="Arial"/>
                <w:szCs w:val="18"/>
                <w:lang w:val="en-GB"/>
              </w:rPr>
              <w:t>1</w:t>
            </w:r>
            <w:r w:rsidR="00100C92">
              <w:rPr>
                <w:rFonts w:cs="Arial"/>
                <w:szCs w:val="18"/>
                <w:lang w:val="en-GB"/>
              </w:rPr>
              <w:t>,</w:t>
            </w:r>
            <w:r>
              <w:rPr>
                <w:rFonts w:cs="Arial"/>
                <w:szCs w:val="18"/>
                <w:lang w:val="en-GB"/>
              </w:rPr>
              <w:t>889</w:t>
            </w:r>
          </w:p>
        </w:tc>
      </w:tr>
      <w:tr w:rsidR="00FB0C3B" w:rsidRPr="00B57B36" w14:paraId="72FE9A64" w14:textId="77777777" w:rsidTr="00581918">
        <w:tc>
          <w:tcPr>
            <w:tcW w:w="2690" w:type="dxa"/>
            <w:tcBorders>
              <w:top w:val="nil"/>
              <w:bottom w:val="nil"/>
            </w:tcBorders>
            <w:shd w:val="clear" w:color="auto" w:fill="FFFFFF"/>
          </w:tcPr>
          <w:p w14:paraId="4D44E857" w14:textId="7312F1FB" w:rsidR="00FB0C3B" w:rsidRPr="00CC3CEA" w:rsidRDefault="00FB0C3B" w:rsidP="008A57AC">
            <w:pPr>
              <w:pStyle w:val="CETBodytext"/>
              <w:ind w:right="-1"/>
              <w:jc w:val="left"/>
              <w:rPr>
                <w:rFonts w:cs="Arial"/>
                <w:szCs w:val="18"/>
                <w:lang w:val="en-GB"/>
              </w:rPr>
            </w:pPr>
            <w:r w:rsidRPr="00CC3CEA">
              <w:rPr>
                <w:rFonts w:cs="Arial"/>
                <w:szCs w:val="18"/>
              </w:rPr>
              <w:t>FA-</w:t>
            </w:r>
            <w:r>
              <w:rPr>
                <w:rFonts w:cs="Arial"/>
                <w:szCs w:val="18"/>
              </w:rPr>
              <w:t>15</w:t>
            </w:r>
          </w:p>
        </w:tc>
        <w:tc>
          <w:tcPr>
            <w:tcW w:w="1630" w:type="dxa"/>
            <w:tcBorders>
              <w:top w:val="nil"/>
              <w:bottom w:val="nil"/>
            </w:tcBorders>
            <w:shd w:val="clear" w:color="auto" w:fill="FFFFFF"/>
            <w:vAlign w:val="center"/>
          </w:tcPr>
          <w:p w14:paraId="6C437579" w14:textId="24005B3B" w:rsidR="00FB0C3B" w:rsidRPr="00514983" w:rsidRDefault="00FB0C3B" w:rsidP="008A57AC">
            <w:pPr>
              <w:pStyle w:val="CETBodytext"/>
              <w:ind w:right="-1"/>
              <w:jc w:val="left"/>
              <w:rPr>
                <w:rFonts w:cs="Arial"/>
                <w:szCs w:val="18"/>
                <w:lang w:val="en-GB"/>
              </w:rPr>
            </w:pPr>
            <w:r>
              <w:rPr>
                <w:rFonts w:cs="Arial"/>
                <w:szCs w:val="18"/>
                <w:lang w:val="en-GB"/>
              </w:rPr>
              <w:t>1</w:t>
            </w:r>
            <w:r w:rsidR="00100C92">
              <w:rPr>
                <w:rFonts w:cs="Arial"/>
                <w:szCs w:val="18"/>
                <w:lang w:val="en-GB"/>
              </w:rPr>
              <w:t>,</w:t>
            </w:r>
            <w:r>
              <w:rPr>
                <w:rFonts w:cs="Arial"/>
                <w:szCs w:val="18"/>
                <w:lang w:val="en-GB"/>
              </w:rPr>
              <w:t>956</w:t>
            </w:r>
          </w:p>
        </w:tc>
      </w:tr>
      <w:tr w:rsidR="001949F5" w:rsidRPr="00B57B36" w14:paraId="7F3DB9DD" w14:textId="77777777" w:rsidTr="00581918">
        <w:tc>
          <w:tcPr>
            <w:tcW w:w="2690" w:type="dxa"/>
            <w:tcBorders>
              <w:top w:val="nil"/>
              <w:bottom w:val="single" w:sz="12" w:space="0" w:color="008000"/>
            </w:tcBorders>
            <w:shd w:val="clear" w:color="auto" w:fill="FFFFFF"/>
          </w:tcPr>
          <w:p w14:paraId="1A42C087" w14:textId="77777777" w:rsidR="001949F5" w:rsidRPr="00CC3CEA" w:rsidRDefault="001949F5" w:rsidP="008A57AC">
            <w:pPr>
              <w:pStyle w:val="CETBodytext"/>
              <w:ind w:right="-1"/>
              <w:jc w:val="left"/>
              <w:rPr>
                <w:rFonts w:cs="Arial"/>
                <w:szCs w:val="18"/>
              </w:rPr>
            </w:pPr>
          </w:p>
        </w:tc>
        <w:tc>
          <w:tcPr>
            <w:tcW w:w="1630" w:type="dxa"/>
            <w:tcBorders>
              <w:top w:val="nil"/>
              <w:bottom w:val="single" w:sz="12" w:space="0" w:color="008000"/>
            </w:tcBorders>
            <w:shd w:val="clear" w:color="auto" w:fill="FFFFFF"/>
            <w:vAlign w:val="center"/>
          </w:tcPr>
          <w:p w14:paraId="0DE0AC46" w14:textId="77777777" w:rsidR="001949F5" w:rsidRDefault="001949F5" w:rsidP="008A57AC">
            <w:pPr>
              <w:pStyle w:val="CETBodytext"/>
              <w:ind w:right="-1"/>
              <w:jc w:val="left"/>
              <w:rPr>
                <w:rFonts w:cs="Arial"/>
                <w:szCs w:val="18"/>
                <w:lang w:val="en-GB"/>
              </w:rPr>
            </w:pPr>
          </w:p>
        </w:tc>
      </w:tr>
    </w:tbl>
    <w:p w14:paraId="15898336" w14:textId="77777777" w:rsidR="003438D7" w:rsidRPr="0078686C" w:rsidRDefault="003438D7" w:rsidP="0078686C">
      <w:pPr>
        <w:pStyle w:val="CETHeading1"/>
        <w:numPr>
          <w:ilvl w:val="1"/>
          <w:numId w:val="1"/>
        </w:numPr>
        <w:tabs>
          <w:tab w:val="num" w:pos="360"/>
        </w:tabs>
        <w:rPr>
          <w:lang w:val="en-GB"/>
        </w:rPr>
      </w:pPr>
      <w:r w:rsidRPr="0078686C">
        <w:rPr>
          <w:lang w:val="en-GB"/>
        </w:rPr>
        <w:t>Analysis of model results</w:t>
      </w:r>
    </w:p>
    <w:p w14:paraId="645A3629" w14:textId="339FDA33" w:rsidR="00A71074" w:rsidRDefault="003438D7" w:rsidP="00A71074">
      <w:pPr>
        <w:rPr>
          <w:rFonts w:cs="Arial"/>
        </w:rPr>
      </w:pPr>
      <w:r w:rsidRPr="008B16E4">
        <w:rPr>
          <w:rFonts w:cs="Arial"/>
        </w:rPr>
        <w:t xml:space="preserve">The </w:t>
      </w:r>
      <w:r w:rsidR="008B16E4" w:rsidRPr="008B16E4">
        <w:rPr>
          <w:rFonts w:cs="Arial"/>
        </w:rPr>
        <w:fldChar w:fldCharType="begin"/>
      </w:r>
      <w:r w:rsidR="008B16E4" w:rsidRPr="008B16E4">
        <w:rPr>
          <w:rFonts w:cs="Arial"/>
        </w:rPr>
        <w:instrText xml:space="preserve"> REF _Ref177460941 \h </w:instrText>
      </w:r>
      <w:r w:rsidR="008B16E4">
        <w:rPr>
          <w:rFonts w:cs="Arial"/>
        </w:rPr>
        <w:instrText xml:space="preserve"> \* MERGEFORMAT </w:instrText>
      </w:r>
      <w:r w:rsidR="008B16E4" w:rsidRPr="008B16E4">
        <w:rPr>
          <w:rFonts w:cs="Arial"/>
        </w:rPr>
      </w:r>
      <w:r w:rsidR="008B16E4" w:rsidRPr="008B16E4">
        <w:rPr>
          <w:rFonts w:cs="Arial"/>
        </w:rPr>
        <w:fldChar w:fldCharType="separate"/>
      </w:r>
      <w:r w:rsidR="008B16E4" w:rsidRPr="008B16E4">
        <w:t>Table 8</w:t>
      </w:r>
      <w:r w:rsidR="008B16E4" w:rsidRPr="008B16E4">
        <w:rPr>
          <w:rFonts w:cs="Arial"/>
        </w:rPr>
        <w:fldChar w:fldCharType="end"/>
      </w:r>
      <w:r w:rsidR="008B16E4" w:rsidRPr="008B16E4">
        <w:rPr>
          <w:rFonts w:cs="Arial"/>
        </w:rPr>
        <w:t xml:space="preserve"> </w:t>
      </w:r>
      <w:r w:rsidRPr="008B16E4">
        <w:rPr>
          <w:rFonts w:cs="Arial"/>
        </w:rPr>
        <w:t>below show</w:t>
      </w:r>
      <w:r w:rsidR="0042616B" w:rsidRPr="008B16E4">
        <w:rPr>
          <w:rFonts w:cs="Arial"/>
        </w:rPr>
        <w:t>s</w:t>
      </w:r>
      <w:r w:rsidRPr="008B16E4">
        <w:rPr>
          <w:rFonts w:cs="Arial"/>
        </w:rPr>
        <w:t xml:space="preserve"> the results of different methods where it </w:t>
      </w:r>
      <w:r w:rsidR="00B20349">
        <w:rPr>
          <w:rFonts w:cs="Arial"/>
        </w:rPr>
        <w:t xml:space="preserve">is highlighted that the </w:t>
      </w:r>
      <w:r w:rsidR="00DE79D7">
        <w:rPr>
          <w:rFonts w:cs="Arial"/>
        </w:rPr>
        <w:t xml:space="preserve">obtained values can </w:t>
      </w:r>
      <w:r w:rsidR="007C59BF">
        <w:rPr>
          <w:rFonts w:cs="Arial"/>
        </w:rPr>
        <w:t xml:space="preserve">have substantial </w:t>
      </w:r>
      <w:r w:rsidR="00A128DD">
        <w:rPr>
          <w:rFonts w:cs="Arial"/>
        </w:rPr>
        <w:t>difference</w:t>
      </w:r>
      <w:r w:rsidR="009604B8">
        <w:rPr>
          <w:rFonts w:cs="Arial"/>
        </w:rPr>
        <w:t>. In particular</w:t>
      </w:r>
      <w:r w:rsidR="003727A0">
        <w:rPr>
          <w:rFonts w:cs="Arial"/>
        </w:rPr>
        <w:t>,</w:t>
      </w:r>
      <w:r w:rsidR="009604B8">
        <w:rPr>
          <w:rFonts w:cs="Arial"/>
        </w:rPr>
        <w:t xml:space="preserve"> the VDS model </w:t>
      </w:r>
      <w:r w:rsidR="001354E8">
        <w:rPr>
          <w:rFonts w:cs="Arial"/>
        </w:rPr>
        <w:t>that considers the plan surface of fire area 7 is the most conservative approach</w:t>
      </w:r>
      <w:r w:rsidR="009964C7">
        <w:rPr>
          <w:rFonts w:cs="Arial"/>
        </w:rPr>
        <w:t>, o</w:t>
      </w:r>
      <w:r w:rsidR="001354E8">
        <w:rPr>
          <w:rFonts w:cs="Arial"/>
        </w:rPr>
        <w:t xml:space="preserve">n the other </w:t>
      </w:r>
      <w:r w:rsidR="003727A0">
        <w:rPr>
          <w:rFonts w:cs="Arial"/>
        </w:rPr>
        <w:t>hand,</w:t>
      </w:r>
      <w:r w:rsidR="001354E8">
        <w:rPr>
          <w:rFonts w:cs="Arial"/>
        </w:rPr>
        <w:t xml:space="preserve"> the </w:t>
      </w:r>
      <w:r w:rsidR="004E28A2">
        <w:rPr>
          <w:rFonts w:cs="Arial"/>
        </w:rPr>
        <w:t xml:space="preserve">outcomes of </w:t>
      </w:r>
      <w:r w:rsidR="001354E8">
        <w:rPr>
          <w:rFonts w:cs="Arial"/>
        </w:rPr>
        <w:t xml:space="preserve">Advanced JEG model </w:t>
      </w:r>
      <w:r w:rsidR="00F64C48">
        <w:rPr>
          <w:rFonts w:cs="Arial"/>
        </w:rPr>
        <w:t>return</w:t>
      </w:r>
      <w:r w:rsidR="00AA469A">
        <w:rPr>
          <w:rFonts w:cs="Arial"/>
        </w:rPr>
        <w:t xml:space="preserve"> the </w:t>
      </w:r>
      <w:r w:rsidR="00C33D69">
        <w:rPr>
          <w:rFonts w:cs="Arial"/>
        </w:rPr>
        <w:t xml:space="preserve">smallest </w:t>
      </w:r>
      <w:r w:rsidR="006F328A">
        <w:rPr>
          <w:rFonts w:cs="Arial"/>
        </w:rPr>
        <w:t>FW runoff retention volume</w:t>
      </w:r>
      <w:r w:rsidR="00C33D69">
        <w:rPr>
          <w:rFonts w:cs="Arial"/>
        </w:rPr>
        <w:t xml:space="preserve"> considering the calculation based on </w:t>
      </w:r>
      <w:r w:rsidR="00BD3275">
        <w:rPr>
          <w:rFonts w:cs="Arial"/>
        </w:rPr>
        <w:t>equipment surface.</w:t>
      </w:r>
      <w:r w:rsidR="00E35120">
        <w:rPr>
          <w:rFonts w:cs="Arial"/>
        </w:rPr>
        <w:t xml:space="preserve"> A</w:t>
      </w:r>
      <w:r w:rsidR="00E35120" w:rsidRPr="00DC0C87">
        <w:rPr>
          <w:rFonts w:cs="Arial"/>
        </w:rPr>
        <w:t xml:space="preserve"> limitation on maximum fire area surface on process plant results in an optimization of FW runoff retention volume</w:t>
      </w:r>
      <w:r w:rsidR="00E35120">
        <w:rPr>
          <w:rFonts w:cs="Arial"/>
        </w:rPr>
        <w:t xml:space="preserve">, considering that the </w:t>
      </w:r>
      <w:r w:rsidR="00E35120" w:rsidRPr="008E6D59">
        <w:rPr>
          <w:rFonts w:cs="Arial"/>
        </w:rPr>
        <w:t xml:space="preserve">application </w:t>
      </w:r>
      <w:r w:rsidR="00E35120">
        <w:rPr>
          <w:rFonts w:cs="Arial"/>
        </w:rPr>
        <w:t xml:space="preserve">of models </w:t>
      </w:r>
      <w:r w:rsidR="00E35120" w:rsidRPr="008E6D59">
        <w:rPr>
          <w:rFonts w:cs="Arial"/>
        </w:rPr>
        <w:t>on plan surface of fire area results in bigger FW retention volumes</w:t>
      </w:r>
      <w:r w:rsidR="0097528E">
        <w:rPr>
          <w:rFonts w:cs="Arial"/>
        </w:rPr>
        <w:t xml:space="preserve">. </w:t>
      </w:r>
      <w:r w:rsidR="00A71074" w:rsidRPr="00196467">
        <w:rPr>
          <w:rFonts w:cs="Arial"/>
        </w:rPr>
        <w:t xml:space="preserve">Furthermore, the reduction factor of </w:t>
      </w:r>
      <w:r w:rsidR="00A71074" w:rsidRPr="0078686C">
        <w:rPr>
          <w:lang w:val="en-US"/>
        </w:rPr>
        <w:t xml:space="preserve">advanced JEG model of 0.1 gives </w:t>
      </w:r>
      <w:r w:rsidR="00A71074" w:rsidRPr="00196467">
        <w:rPr>
          <w:rFonts w:cs="Arial"/>
        </w:rPr>
        <w:t xml:space="preserve">as result lower values of FW runoff retention volume, </w:t>
      </w:r>
      <w:r w:rsidR="00F70061" w:rsidRPr="00196467">
        <w:rPr>
          <w:rFonts w:cs="Arial"/>
        </w:rPr>
        <w:t>while</w:t>
      </w:r>
      <w:r w:rsidR="00A71074" w:rsidRPr="00196467">
        <w:rPr>
          <w:rFonts w:cs="Arial"/>
        </w:rPr>
        <w:t xml:space="preserve"> for large fire area </w:t>
      </w:r>
      <w:r w:rsidR="00F70061" w:rsidRPr="00196467">
        <w:rPr>
          <w:rFonts w:cs="Arial"/>
        </w:rPr>
        <w:t xml:space="preserve">the application of </w:t>
      </w:r>
      <w:r w:rsidR="00A71074" w:rsidRPr="00196467">
        <w:rPr>
          <w:rFonts w:cs="Arial"/>
        </w:rPr>
        <w:t xml:space="preserve">a more conservative value of 0.25 </w:t>
      </w:r>
      <w:r w:rsidR="00196467" w:rsidRPr="00196467">
        <w:rPr>
          <w:rFonts w:cs="Arial"/>
        </w:rPr>
        <w:t xml:space="preserve">produces </w:t>
      </w:r>
      <w:r w:rsidR="00A71074" w:rsidRPr="00196467">
        <w:rPr>
          <w:rFonts w:cs="Arial"/>
        </w:rPr>
        <w:t>results within the same range of other models.</w:t>
      </w:r>
      <w:r w:rsidR="00A71074">
        <w:rPr>
          <w:rFonts w:cs="Arial"/>
        </w:rPr>
        <w:t xml:space="preserve"> </w:t>
      </w:r>
    </w:p>
    <w:p w14:paraId="491F9DFB" w14:textId="16829FBC" w:rsidR="008B16E4" w:rsidRDefault="008B16E4" w:rsidP="0078686C">
      <w:pPr>
        <w:pStyle w:val="CETTabletitle"/>
        <w:keepNext w:val="0"/>
        <w:widowControl w:val="0"/>
      </w:pPr>
      <w:bookmarkStart w:id="5" w:name="_Ref177460941"/>
      <w:r>
        <w:t xml:space="preserve">Table </w:t>
      </w:r>
      <w:r>
        <w:fldChar w:fldCharType="begin"/>
      </w:r>
      <w:r>
        <w:instrText xml:space="preserve"> SEQ Table \* ARABIC </w:instrText>
      </w:r>
      <w:r>
        <w:fldChar w:fldCharType="separate"/>
      </w:r>
      <w:r>
        <w:t>8</w:t>
      </w:r>
      <w:r>
        <w:fldChar w:fldCharType="end"/>
      </w:r>
      <w:bookmarkEnd w:id="5"/>
      <w:r>
        <w:t xml:space="preserve">: </w:t>
      </w:r>
      <w:r w:rsidRPr="008B16E4">
        <w:t>Results of FW runoff retention volume for different models</w:t>
      </w:r>
    </w:p>
    <w:tbl>
      <w:tblPr>
        <w:tblW w:w="82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40"/>
        <w:gridCol w:w="4500"/>
        <w:gridCol w:w="1440"/>
      </w:tblGrid>
      <w:tr w:rsidR="005A330F" w:rsidRPr="00B57B36" w14:paraId="66D6A230" w14:textId="77777777" w:rsidTr="009839FB">
        <w:trPr>
          <w:trHeight w:val="636"/>
          <w:tblHeader/>
        </w:trPr>
        <w:tc>
          <w:tcPr>
            <w:tcW w:w="2340" w:type="dxa"/>
            <w:tcBorders>
              <w:top w:val="single" w:sz="12" w:space="0" w:color="008000"/>
              <w:bottom w:val="single" w:sz="6" w:space="0" w:color="008000"/>
            </w:tcBorders>
            <w:shd w:val="clear" w:color="auto" w:fill="FFFFFF"/>
          </w:tcPr>
          <w:p w14:paraId="1CE79EE6" w14:textId="32399635" w:rsidR="005A330F" w:rsidRPr="00B57B36" w:rsidRDefault="005A330F" w:rsidP="007F7059">
            <w:pPr>
              <w:pStyle w:val="CETBodytext"/>
              <w:widowControl w:val="0"/>
              <w:jc w:val="left"/>
              <w:rPr>
                <w:lang w:val="en-GB"/>
              </w:rPr>
            </w:pPr>
            <w:r>
              <w:rPr>
                <w:lang w:val="en-GB"/>
              </w:rPr>
              <w:t>Model</w:t>
            </w:r>
          </w:p>
        </w:tc>
        <w:tc>
          <w:tcPr>
            <w:tcW w:w="4500" w:type="dxa"/>
            <w:tcBorders>
              <w:top w:val="single" w:sz="12" w:space="0" w:color="008000"/>
              <w:bottom w:val="single" w:sz="6" w:space="0" w:color="008000"/>
            </w:tcBorders>
            <w:shd w:val="clear" w:color="auto" w:fill="FFFFFF"/>
          </w:tcPr>
          <w:p w14:paraId="7CC7A75B" w14:textId="549ABD3F" w:rsidR="005A330F" w:rsidRPr="00B57B36" w:rsidRDefault="005A330F" w:rsidP="0093530C">
            <w:pPr>
              <w:pStyle w:val="CETBodytext"/>
              <w:widowControl w:val="0"/>
              <w:jc w:val="left"/>
              <w:rPr>
                <w:lang w:val="en-GB"/>
              </w:rPr>
            </w:pPr>
            <w:r w:rsidRPr="005A330F">
              <w:rPr>
                <w:lang w:val="en-GB"/>
              </w:rPr>
              <w:t>Actual fire compartment area or Object area</w:t>
            </w:r>
          </w:p>
        </w:tc>
        <w:tc>
          <w:tcPr>
            <w:tcW w:w="1440" w:type="dxa"/>
            <w:tcBorders>
              <w:top w:val="single" w:sz="12" w:space="0" w:color="008000"/>
              <w:bottom w:val="single" w:sz="6" w:space="0" w:color="008000"/>
            </w:tcBorders>
            <w:shd w:val="clear" w:color="auto" w:fill="FFFFFF"/>
          </w:tcPr>
          <w:p w14:paraId="16DECA37" w14:textId="363649CC" w:rsidR="005A330F" w:rsidRDefault="005A330F" w:rsidP="00651467">
            <w:pPr>
              <w:pStyle w:val="CETBodytext"/>
              <w:widowControl w:val="0"/>
              <w:ind w:right="-1"/>
              <w:jc w:val="center"/>
              <w:rPr>
                <w:rFonts w:cs="Arial"/>
                <w:szCs w:val="18"/>
                <w:lang w:val="en-GB"/>
              </w:rPr>
            </w:pPr>
            <w:r w:rsidRPr="005A330F">
              <w:rPr>
                <w:rFonts w:cs="Arial"/>
                <w:szCs w:val="18"/>
                <w:lang w:val="en-GB"/>
              </w:rPr>
              <w:t>F</w:t>
            </w:r>
            <w:r>
              <w:rPr>
                <w:rFonts w:cs="Arial"/>
                <w:szCs w:val="18"/>
                <w:lang w:val="en-GB"/>
              </w:rPr>
              <w:t>W</w:t>
            </w:r>
            <w:r w:rsidRPr="005A330F">
              <w:rPr>
                <w:rFonts w:cs="Arial"/>
                <w:szCs w:val="18"/>
                <w:lang w:val="en-GB"/>
              </w:rPr>
              <w:t xml:space="preserve"> Runoff Retention Volume</w:t>
            </w:r>
          </w:p>
          <w:p w14:paraId="126C4B0B" w14:textId="72E3591E" w:rsidR="005A330F" w:rsidRPr="00514983" w:rsidRDefault="005A330F" w:rsidP="00651467">
            <w:pPr>
              <w:pStyle w:val="CETBodytext"/>
              <w:widowControl w:val="0"/>
              <w:ind w:right="-1"/>
              <w:jc w:val="center"/>
              <w:rPr>
                <w:rFonts w:cs="Arial"/>
                <w:szCs w:val="18"/>
                <w:lang w:val="en-GB"/>
              </w:rPr>
            </w:pPr>
            <w:r w:rsidRPr="005A330F">
              <w:rPr>
                <w:rFonts w:cs="Arial"/>
                <w:szCs w:val="18"/>
                <w:lang w:val="en-GB"/>
              </w:rPr>
              <w:t>R (</w:t>
            </w:r>
            <w:r>
              <w:rPr>
                <w:rFonts w:cs="Arial"/>
                <w:szCs w:val="18"/>
                <w:lang w:val="en-GB"/>
              </w:rPr>
              <w:t>m</w:t>
            </w:r>
            <w:r w:rsidRPr="005A330F">
              <w:rPr>
                <w:rFonts w:cs="Arial"/>
                <w:szCs w:val="18"/>
                <w:vertAlign w:val="superscript"/>
                <w:lang w:val="en-GB"/>
              </w:rPr>
              <w:t>3</w:t>
            </w:r>
            <w:r w:rsidRPr="005A330F">
              <w:rPr>
                <w:rFonts w:cs="Arial"/>
                <w:szCs w:val="18"/>
                <w:lang w:val="en-GB"/>
              </w:rPr>
              <w:t>)</w:t>
            </w:r>
          </w:p>
        </w:tc>
      </w:tr>
      <w:tr w:rsidR="006D5D5E" w:rsidRPr="00B57B36" w14:paraId="63AB137A" w14:textId="77777777" w:rsidTr="009E2FB5">
        <w:trPr>
          <w:trHeight w:val="399"/>
        </w:trPr>
        <w:tc>
          <w:tcPr>
            <w:tcW w:w="2340" w:type="dxa"/>
            <w:vMerge w:val="restart"/>
            <w:shd w:val="clear" w:color="auto" w:fill="FFFFFF"/>
          </w:tcPr>
          <w:p w14:paraId="00793FEE" w14:textId="2EF05298" w:rsidR="009A24E3" w:rsidRPr="001C1690" w:rsidRDefault="006D5D5E" w:rsidP="009839FB">
            <w:pPr>
              <w:pStyle w:val="CETBodytext"/>
              <w:widowControl w:val="0"/>
              <w:jc w:val="left"/>
              <w:rPr>
                <w:szCs w:val="18"/>
                <w:lang w:val="en-GB"/>
              </w:rPr>
            </w:pPr>
            <w:r w:rsidRPr="001C1690">
              <w:rPr>
                <w:szCs w:val="18"/>
                <w:lang w:val="en-GB"/>
              </w:rPr>
              <w:t>VDS Model</w:t>
            </w:r>
          </w:p>
        </w:tc>
        <w:tc>
          <w:tcPr>
            <w:tcW w:w="4500" w:type="dxa"/>
            <w:shd w:val="clear" w:color="auto" w:fill="FFFFFF"/>
          </w:tcPr>
          <w:p w14:paraId="4696400A" w14:textId="2EE86327" w:rsidR="006D5D5E" w:rsidRPr="00CC3CEA" w:rsidRDefault="006D5D5E" w:rsidP="007F7059">
            <w:pPr>
              <w:pStyle w:val="CETBodytext"/>
              <w:widowControl w:val="0"/>
              <w:jc w:val="left"/>
              <w:rPr>
                <w:szCs w:val="18"/>
                <w:lang w:val="en-GB"/>
              </w:rPr>
            </w:pPr>
            <w:r w:rsidRPr="002A03D6">
              <w:t>Plan Surface of FA-7 curbed area surface</w:t>
            </w:r>
          </w:p>
        </w:tc>
        <w:tc>
          <w:tcPr>
            <w:tcW w:w="1440" w:type="dxa"/>
            <w:shd w:val="clear" w:color="auto" w:fill="FFFFFF"/>
          </w:tcPr>
          <w:p w14:paraId="0D238A6A" w14:textId="3CB8ADFE" w:rsidR="001B7C83" w:rsidRPr="00514983" w:rsidRDefault="003D3173" w:rsidP="00651467">
            <w:pPr>
              <w:pStyle w:val="CETBodytext"/>
              <w:widowControl w:val="0"/>
              <w:ind w:right="-1"/>
              <w:jc w:val="center"/>
              <w:rPr>
                <w:rFonts w:cs="Arial"/>
                <w:szCs w:val="18"/>
                <w:lang w:val="en-GB"/>
              </w:rPr>
            </w:pPr>
            <w:r>
              <w:rPr>
                <w:rFonts w:cs="Arial"/>
                <w:szCs w:val="18"/>
                <w:lang w:val="en-GB"/>
              </w:rPr>
              <w:t>2</w:t>
            </w:r>
            <w:r w:rsidR="00100C92">
              <w:rPr>
                <w:rFonts w:cs="Arial"/>
                <w:szCs w:val="18"/>
                <w:lang w:val="en-GB"/>
              </w:rPr>
              <w:t>,</w:t>
            </w:r>
            <w:r>
              <w:rPr>
                <w:rFonts w:cs="Arial"/>
                <w:szCs w:val="18"/>
                <w:lang w:val="en-GB"/>
              </w:rPr>
              <w:t>310</w:t>
            </w:r>
          </w:p>
        </w:tc>
      </w:tr>
      <w:tr w:rsidR="006D5D5E" w:rsidRPr="00B57B36" w14:paraId="4784E845" w14:textId="77777777" w:rsidTr="00BE6C2F">
        <w:trPr>
          <w:trHeight w:val="576"/>
        </w:trPr>
        <w:tc>
          <w:tcPr>
            <w:tcW w:w="2340" w:type="dxa"/>
            <w:vMerge/>
            <w:shd w:val="clear" w:color="auto" w:fill="FFFFFF"/>
          </w:tcPr>
          <w:p w14:paraId="35171F57" w14:textId="27DC0148" w:rsidR="006D5D5E" w:rsidRPr="001C1690" w:rsidRDefault="006D5D5E" w:rsidP="007F7059">
            <w:pPr>
              <w:pStyle w:val="CETBodytext"/>
              <w:widowControl w:val="0"/>
              <w:jc w:val="left"/>
              <w:rPr>
                <w:rFonts w:cs="Arial"/>
                <w:szCs w:val="18"/>
              </w:rPr>
            </w:pPr>
          </w:p>
        </w:tc>
        <w:tc>
          <w:tcPr>
            <w:tcW w:w="4500" w:type="dxa"/>
            <w:shd w:val="clear" w:color="auto" w:fill="FFFFFF"/>
          </w:tcPr>
          <w:p w14:paraId="531A1549" w14:textId="041292A1" w:rsidR="006D5D5E" w:rsidRDefault="006D5D5E" w:rsidP="007F7059">
            <w:pPr>
              <w:pStyle w:val="CETBodytext"/>
              <w:widowControl w:val="0"/>
              <w:jc w:val="left"/>
              <w:rPr>
                <w:szCs w:val="18"/>
                <w:lang w:val="en-GB"/>
              </w:rPr>
            </w:pPr>
            <w:r w:rsidRPr="002A03D6">
              <w:t>Equipment geometrical surface up to 15 m height</w:t>
            </w:r>
          </w:p>
        </w:tc>
        <w:tc>
          <w:tcPr>
            <w:tcW w:w="1440" w:type="dxa"/>
            <w:shd w:val="clear" w:color="auto" w:fill="FFFFFF"/>
          </w:tcPr>
          <w:p w14:paraId="2AAF72B4" w14:textId="13F7AEA9" w:rsidR="003D3173" w:rsidRDefault="003D3173"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963</w:t>
            </w:r>
          </w:p>
        </w:tc>
      </w:tr>
      <w:tr w:rsidR="006D5D5E" w:rsidRPr="00B57B36" w14:paraId="725F0245" w14:textId="77777777" w:rsidTr="00BE6C2F">
        <w:trPr>
          <w:trHeight w:val="477"/>
        </w:trPr>
        <w:tc>
          <w:tcPr>
            <w:tcW w:w="2340" w:type="dxa"/>
            <w:vMerge w:val="restart"/>
            <w:shd w:val="clear" w:color="auto" w:fill="FFFFFF"/>
          </w:tcPr>
          <w:p w14:paraId="7EB714C3" w14:textId="130BD2DB" w:rsidR="009A24E3" w:rsidRPr="001C1690" w:rsidRDefault="006D5D5E" w:rsidP="009839FB">
            <w:pPr>
              <w:pStyle w:val="CETBodytext"/>
              <w:widowControl w:val="0"/>
              <w:jc w:val="left"/>
              <w:rPr>
                <w:rFonts w:cs="Arial"/>
                <w:szCs w:val="18"/>
              </w:rPr>
            </w:pPr>
            <w:r w:rsidRPr="001C1690">
              <w:rPr>
                <w:rFonts w:cs="Arial"/>
                <w:szCs w:val="18"/>
              </w:rPr>
              <w:t>Advanced JEG Model</w:t>
            </w:r>
          </w:p>
        </w:tc>
        <w:tc>
          <w:tcPr>
            <w:tcW w:w="4500" w:type="dxa"/>
            <w:shd w:val="clear" w:color="auto" w:fill="FFFFFF"/>
          </w:tcPr>
          <w:p w14:paraId="50A472ED" w14:textId="24308A70" w:rsidR="006D5D5E" w:rsidRDefault="006D5D5E" w:rsidP="007F7059">
            <w:pPr>
              <w:pStyle w:val="CETBodytext"/>
              <w:widowControl w:val="0"/>
              <w:jc w:val="left"/>
              <w:rPr>
                <w:szCs w:val="18"/>
                <w:lang w:val="en-GB"/>
              </w:rPr>
            </w:pPr>
            <w:r w:rsidRPr="002A03D6">
              <w:t>Plan Surface FA-7 curbed area surface</w:t>
            </w:r>
            <w:r w:rsidR="003C31AB">
              <w:t xml:space="preserve">. </w:t>
            </w:r>
            <w:r w:rsidR="003C31AB" w:rsidRPr="002A03D6">
              <w:t>Operational factory fire service 0.1</w:t>
            </w:r>
          </w:p>
        </w:tc>
        <w:tc>
          <w:tcPr>
            <w:tcW w:w="1440" w:type="dxa"/>
            <w:shd w:val="clear" w:color="auto" w:fill="FFFFFF"/>
          </w:tcPr>
          <w:p w14:paraId="4FD9D220" w14:textId="78F53B7D" w:rsidR="003D3173" w:rsidRDefault="003D3173" w:rsidP="00651467">
            <w:pPr>
              <w:pStyle w:val="CETBodytext"/>
              <w:widowControl w:val="0"/>
              <w:ind w:right="-1"/>
              <w:jc w:val="center"/>
              <w:rPr>
                <w:rFonts w:cs="Arial"/>
                <w:szCs w:val="18"/>
                <w:lang w:val="en-GB"/>
              </w:rPr>
            </w:pPr>
            <w:r>
              <w:rPr>
                <w:rFonts w:cs="Arial"/>
                <w:szCs w:val="18"/>
                <w:lang w:val="en-GB"/>
              </w:rPr>
              <w:t>715</w:t>
            </w:r>
          </w:p>
        </w:tc>
      </w:tr>
      <w:tr w:rsidR="006D5D5E" w:rsidRPr="00B57B36" w14:paraId="212DA39D" w14:textId="77777777" w:rsidTr="00BE6C2F">
        <w:trPr>
          <w:trHeight w:val="513"/>
        </w:trPr>
        <w:tc>
          <w:tcPr>
            <w:tcW w:w="2340" w:type="dxa"/>
            <w:vMerge/>
            <w:shd w:val="clear" w:color="auto" w:fill="FFFFFF"/>
          </w:tcPr>
          <w:p w14:paraId="7288435B" w14:textId="77777777" w:rsidR="006D5D5E" w:rsidRPr="001C1690" w:rsidRDefault="006D5D5E" w:rsidP="007F7059">
            <w:pPr>
              <w:pStyle w:val="CETBodytext"/>
              <w:widowControl w:val="0"/>
              <w:jc w:val="left"/>
              <w:rPr>
                <w:rFonts w:cs="Arial"/>
                <w:szCs w:val="18"/>
              </w:rPr>
            </w:pPr>
          </w:p>
        </w:tc>
        <w:tc>
          <w:tcPr>
            <w:tcW w:w="4500" w:type="dxa"/>
            <w:shd w:val="clear" w:color="auto" w:fill="FFFFFF"/>
          </w:tcPr>
          <w:p w14:paraId="708CF3F7" w14:textId="0BB165C6" w:rsidR="006D5D5E" w:rsidRDefault="005052AC" w:rsidP="007F7059">
            <w:pPr>
              <w:pStyle w:val="CETBodytext"/>
              <w:widowControl w:val="0"/>
              <w:jc w:val="left"/>
              <w:rPr>
                <w:szCs w:val="18"/>
                <w:lang w:val="en-GB"/>
              </w:rPr>
            </w:pPr>
            <w:r w:rsidRPr="002A03D6">
              <w:t>Equipment geometrical surface up to 15 m height Operational factory fire service 0.1</w:t>
            </w:r>
          </w:p>
        </w:tc>
        <w:tc>
          <w:tcPr>
            <w:tcW w:w="1440" w:type="dxa"/>
            <w:shd w:val="clear" w:color="auto" w:fill="FFFFFF"/>
          </w:tcPr>
          <w:p w14:paraId="6A7838F3" w14:textId="5BC037BF" w:rsidR="003D3173" w:rsidRDefault="003D3173" w:rsidP="00651467">
            <w:pPr>
              <w:pStyle w:val="CETBodytext"/>
              <w:widowControl w:val="0"/>
              <w:ind w:right="-1"/>
              <w:jc w:val="center"/>
              <w:rPr>
                <w:rFonts w:cs="Arial"/>
                <w:szCs w:val="18"/>
                <w:lang w:val="en-GB"/>
              </w:rPr>
            </w:pPr>
            <w:r>
              <w:rPr>
                <w:rFonts w:cs="Arial"/>
                <w:szCs w:val="18"/>
                <w:lang w:val="en-GB"/>
              </w:rPr>
              <w:t>436</w:t>
            </w:r>
          </w:p>
        </w:tc>
      </w:tr>
      <w:tr w:rsidR="006D5D5E" w:rsidRPr="00B57B36" w14:paraId="5B9BA18B" w14:textId="77777777" w:rsidTr="00BE6C2F">
        <w:trPr>
          <w:trHeight w:val="540"/>
        </w:trPr>
        <w:tc>
          <w:tcPr>
            <w:tcW w:w="2340" w:type="dxa"/>
            <w:vMerge/>
            <w:shd w:val="clear" w:color="auto" w:fill="FFFFFF"/>
          </w:tcPr>
          <w:p w14:paraId="09F7D5F7" w14:textId="77777777" w:rsidR="006D5D5E" w:rsidRPr="001C1690" w:rsidRDefault="006D5D5E" w:rsidP="007F7059">
            <w:pPr>
              <w:pStyle w:val="CETBodytext"/>
              <w:widowControl w:val="0"/>
              <w:jc w:val="left"/>
              <w:rPr>
                <w:rFonts w:cs="Arial"/>
                <w:szCs w:val="18"/>
              </w:rPr>
            </w:pPr>
          </w:p>
        </w:tc>
        <w:tc>
          <w:tcPr>
            <w:tcW w:w="4500" w:type="dxa"/>
            <w:shd w:val="clear" w:color="auto" w:fill="FFFFFF"/>
          </w:tcPr>
          <w:p w14:paraId="03D81151" w14:textId="753BB829" w:rsidR="006D5D5E" w:rsidRDefault="005052AC" w:rsidP="007F7059">
            <w:pPr>
              <w:pStyle w:val="CETBodytext"/>
              <w:widowControl w:val="0"/>
              <w:jc w:val="left"/>
              <w:rPr>
                <w:szCs w:val="18"/>
                <w:lang w:val="en-GB"/>
              </w:rPr>
            </w:pPr>
            <w:r w:rsidRPr="002A03D6">
              <w:t>Plan Surface FA-7 curbed area surface</w:t>
            </w:r>
            <w:r>
              <w:t xml:space="preserve"> </w:t>
            </w:r>
            <w:r w:rsidRPr="005052AC">
              <w:t>Operational factory fire service 0.25</w:t>
            </w:r>
          </w:p>
        </w:tc>
        <w:tc>
          <w:tcPr>
            <w:tcW w:w="1440" w:type="dxa"/>
            <w:shd w:val="clear" w:color="auto" w:fill="FFFFFF"/>
          </w:tcPr>
          <w:p w14:paraId="131D06D4" w14:textId="72F82BCF" w:rsidR="003D3173" w:rsidRDefault="003D3173"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788</w:t>
            </w:r>
          </w:p>
        </w:tc>
      </w:tr>
      <w:tr w:rsidR="006D5D5E" w:rsidRPr="00B57B36" w14:paraId="066AC2B1" w14:textId="77777777" w:rsidTr="00BE6C2F">
        <w:trPr>
          <w:trHeight w:val="765"/>
        </w:trPr>
        <w:tc>
          <w:tcPr>
            <w:tcW w:w="2340" w:type="dxa"/>
            <w:vMerge/>
            <w:shd w:val="clear" w:color="auto" w:fill="FFFFFF"/>
          </w:tcPr>
          <w:p w14:paraId="33AF4728" w14:textId="77777777" w:rsidR="006D5D5E" w:rsidRPr="001C1690" w:rsidRDefault="006D5D5E" w:rsidP="007F7059">
            <w:pPr>
              <w:pStyle w:val="CETBodytext"/>
              <w:widowControl w:val="0"/>
              <w:jc w:val="left"/>
              <w:rPr>
                <w:rFonts w:cs="Arial"/>
                <w:szCs w:val="18"/>
              </w:rPr>
            </w:pPr>
          </w:p>
        </w:tc>
        <w:tc>
          <w:tcPr>
            <w:tcW w:w="4500" w:type="dxa"/>
            <w:shd w:val="clear" w:color="auto" w:fill="FFFFFF"/>
          </w:tcPr>
          <w:p w14:paraId="6649A997" w14:textId="4F57BD1F" w:rsidR="006D5D5E" w:rsidRDefault="005052AC" w:rsidP="007F7059">
            <w:pPr>
              <w:widowControl w:val="0"/>
              <w:spacing w:line="360" w:lineRule="auto"/>
              <w:jc w:val="left"/>
              <w:rPr>
                <w:szCs w:val="18"/>
              </w:rPr>
            </w:pPr>
            <w:r w:rsidRPr="005052AC">
              <w:rPr>
                <w:lang w:val="en-US"/>
              </w:rPr>
              <w:t xml:space="preserve">Equipment geometrical surface </w:t>
            </w:r>
            <w:r w:rsidRPr="009C5C50">
              <w:rPr>
                <w:rStyle w:val="CETBodytextCarattere"/>
              </w:rPr>
              <w:t>up to 15 m</w:t>
            </w:r>
            <w:r w:rsidR="009C5C50">
              <w:rPr>
                <w:rStyle w:val="CETBodytextCarattere"/>
              </w:rPr>
              <w:t xml:space="preserve"> </w:t>
            </w:r>
            <w:r w:rsidR="009C5C50" w:rsidRPr="009C5C50">
              <w:rPr>
                <w:rStyle w:val="CETBodytextCarattere"/>
              </w:rPr>
              <w:t>height. Operational factory fire service 0.25</w:t>
            </w:r>
          </w:p>
        </w:tc>
        <w:tc>
          <w:tcPr>
            <w:tcW w:w="1440" w:type="dxa"/>
            <w:shd w:val="clear" w:color="auto" w:fill="FFFFFF"/>
          </w:tcPr>
          <w:p w14:paraId="32FBF174" w14:textId="35B598B7" w:rsidR="003D3173" w:rsidRDefault="003D3173"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089</w:t>
            </w:r>
          </w:p>
        </w:tc>
      </w:tr>
      <w:tr w:rsidR="006D5D5E" w:rsidRPr="00B57B36" w14:paraId="64136174" w14:textId="77777777" w:rsidTr="00BE6C2F">
        <w:trPr>
          <w:trHeight w:val="279"/>
        </w:trPr>
        <w:tc>
          <w:tcPr>
            <w:tcW w:w="2340" w:type="dxa"/>
            <w:vMerge w:val="restart"/>
            <w:shd w:val="clear" w:color="auto" w:fill="FFFFFF"/>
          </w:tcPr>
          <w:p w14:paraId="4C78B59F" w14:textId="69F3D5EB" w:rsidR="007F72C1" w:rsidRPr="001C1690" w:rsidRDefault="006D5D5E" w:rsidP="009839FB">
            <w:pPr>
              <w:pStyle w:val="CETBodytext"/>
              <w:widowControl w:val="0"/>
              <w:jc w:val="left"/>
              <w:rPr>
                <w:rFonts w:cs="Arial"/>
                <w:szCs w:val="18"/>
              </w:rPr>
            </w:pPr>
            <w:r w:rsidRPr="001C1690">
              <w:rPr>
                <w:rFonts w:cs="Arial"/>
                <w:szCs w:val="18"/>
              </w:rPr>
              <w:t>Province of Hessen Model</w:t>
            </w:r>
          </w:p>
        </w:tc>
        <w:tc>
          <w:tcPr>
            <w:tcW w:w="4500" w:type="dxa"/>
            <w:shd w:val="clear" w:color="auto" w:fill="FFFFFF"/>
          </w:tcPr>
          <w:p w14:paraId="4DDC653C" w14:textId="6D97C6CC" w:rsidR="006D5D5E" w:rsidRDefault="00C11C30" w:rsidP="007F7059">
            <w:pPr>
              <w:pStyle w:val="CETBodytext"/>
              <w:widowControl w:val="0"/>
              <w:jc w:val="left"/>
              <w:rPr>
                <w:szCs w:val="18"/>
                <w:lang w:val="en-GB"/>
              </w:rPr>
            </w:pPr>
            <w:r w:rsidRPr="00C11C30">
              <w:rPr>
                <w:szCs w:val="18"/>
                <w:lang w:val="en-GB"/>
              </w:rPr>
              <w:t>Plan Surface FA-7 curbed area surface</w:t>
            </w:r>
          </w:p>
        </w:tc>
        <w:tc>
          <w:tcPr>
            <w:tcW w:w="1440" w:type="dxa"/>
            <w:shd w:val="clear" w:color="auto" w:fill="FFFFFF"/>
          </w:tcPr>
          <w:p w14:paraId="1B248BC9" w14:textId="12B06958" w:rsidR="007F72C1" w:rsidRDefault="005C72F8"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287</w:t>
            </w:r>
          </w:p>
        </w:tc>
      </w:tr>
      <w:tr w:rsidR="006D5D5E" w:rsidRPr="00B57B36" w14:paraId="1039CE52" w14:textId="77777777" w:rsidTr="00BE6C2F">
        <w:trPr>
          <w:trHeight w:val="387"/>
        </w:trPr>
        <w:tc>
          <w:tcPr>
            <w:tcW w:w="2340" w:type="dxa"/>
            <w:vMerge/>
            <w:shd w:val="clear" w:color="auto" w:fill="FFFFFF"/>
          </w:tcPr>
          <w:p w14:paraId="751721F9" w14:textId="77777777" w:rsidR="006D5D5E" w:rsidRPr="001C1690" w:rsidRDefault="006D5D5E" w:rsidP="007F7059">
            <w:pPr>
              <w:pStyle w:val="CETBodytext"/>
              <w:widowControl w:val="0"/>
              <w:jc w:val="left"/>
              <w:rPr>
                <w:rFonts w:cs="Arial"/>
                <w:szCs w:val="18"/>
              </w:rPr>
            </w:pPr>
          </w:p>
        </w:tc>
        <w:tc>
          <w:tcPr>
            <w:tcW w:w="4500" w:type="dxa"/>
            <w:shd w:val="clear" w:color="auto" w:fill="FFFFFF"/>
          </w:tcPr>
          <w:p w14:paraId="137F56A7" w14:textId="054BD3C9" w:rsidR="006D5D5E" w:rsidRDefault="00C11C30" w:rsidP="007F7059">
            <w:pPr>
              <w:pStyle w:val="CETBodytext"/>
              <w:widowControl w:val="0"/>
              <w:jc w:val="left"/>
              <w:rPr>
                <w:szCs w:val="18"/>
                <w:lang w:val="en-GB"/>
              </w:rPr>
            </w:pPr>
            <w:r w:rsidRPr="00C11C30">
              <w:rPr>
                <w:szCs w:val="18"/>
                <w:lang w:val="en-GB"/>
              </w:rPr>
              <w:t>Equipment geometrical surface up to 15 m height</w:t>
            </w:r>
          </w:p>
        </w:tc>
        <w:tc>
          <w:tcPr>
            <w:tcW w:w="1440" w:type="dxa"/>
            <w:shd w:val="clear" w:color="auto" w:fill="FFFFFF"/>
          </w:tcPr>
          <w:p w14:paraId="172C0EA0" w14:textId="0632BBC8" w:rsidR="005D773A" w:rsidRDefault="005C72F8" w:rsidP="00651467">
            <w:pPr>
              <w:pStyle w:val="CETBodytext"/>
              <w:widowControl w:val="0"/>
              <w:ind w:right="-1"/>
              <w:jc w:val="center"/>
              <w:rPr>
                <w:rFonts w:cs="Arial"/>
                <w:szCs w:val="18"/>
                <w:lang w:val="en-GB"/>
              </w:rPr>
            </w:pPr>
            <w:r>
              <w:rPr>
                <w:rFonts w:cs="Arial"/>
                <w:szCs w:val="18"/>
                <w:lang w:val="en-GB"/>
              </w:rPr>
              <w:t>784</w:t>
            </w:r>
          </w:p>
        </w:tc>
      </w:tr>
      <w:tr w:rsidR="002967F0" w:rsidRPr="00B57B36" w14:paraId="66CB6281" w14:textId="77777777" w:rsidTr="00BE6C2F">
        <w:trPr>
          <w:trHeight w:val="342"/>
        </w:trPr>
        <w:tc>
          <w:tcPr>
            <w:tcW w:w="2340" w:type="dxa"/>
            <w:shd w:val="clear" w:color="auto" w:fill="FFFFFF"/>
          </w:tcPr>
          <w:p w14:paraId="01484332" w14:textId="0A9DED31" w:rsidR="002967F0" w:rsidRPr="001C1690" w:rsidRDefault="00581AA4" w:rsidP="007F7059">
            <w:pPr>
              <w:pStyle w:val="CETBodytext"/>
              <w:widowControl w:val="0"/>
              <w:jc w:val="left"/>
              <w:rPr>
                <w:rFonts w:cs="Arial"/>
                <w:szCs w:val="18"/>
              </w:rPr>
            </w:pPr>
            <w:r w:rsidRPr="001C1690">
              <w:rPr>
                <w:rFonts w:cs="Arial"/>
                <w:szCs w:val="18"/>
              </w:rPr>
              <w:t>Burning rate model</w:t>
            </w:r>
          </w:p>
        </w:tc>
        <w:tc>
          <w:tcPr>
            <w:tcW w:w="4500" w:type="dxa"/>
            <w:shd w:val="clear" w:color="auto" w:fill="FFFFFF"/>
          </w:tcPr>
          <w:p w14:paraId="4C468232" w14:textId="4A19FB7C" w:rsidR="002967F0" w:rsidRDefault="00581AA4" w:rsidP="007F7059">
            <w:pPr>
              <w:pStyle w:val="CETBodytext"/>
              <w:widowControl w:val="0"/>
              <w:jc w:val="left"/>
              <w:rPr>
                <w:szCs w:val="18"/>
                <w:lang w:val="en-GB"/>
              </w:rPr>
            </w:pPr>
            <w:r>
              <w:rPr>
                <w:szCs w:val="18"/>
                <w:lang w:val="en-GB"/>
              </w:rPr>
              <w:t>n/a</w:t>
            </w:r>
          </w:p>
        </w:tc>
        <w:tc>
          <w:tcPr>
            <w:tcW w:w="1440" w:type="dxa"/>
            <w:shd w:val="clear" w:color="auto" w:fill="FFFFFF"/>
          </w:tcPr>
          <w:p w14:paraId="47FD985F" w14:textId="14C605AD" w:rsidR="002967F0" w:rsidRDefault="00581AA4"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465</w:t>
            </w:r>
          </w:p>
        </w:tc>
      </w:tr>
      <w:tr w:rsidR="00581AA4" w:rsidRPr="00B57B36" w14:paraId="7C44151A" w14:textId="77777777" w:rsidTr="00BE6C2F">
        <w:trPr>
          <w:trHeight w:val="558"/>
        </w:trPr>
        <w:tc>
          <w:tcPr>
            <w:tcW w:w="2340" w:type="dxa"/>
            <w:vMerge w:val="restart"/>
            <w:shd w:val="clear" w:color="auto" w:fill="FFFFFF"/>
          </w:tcPr>
          <w:p w14:paraId="4FB0295C" w14:textId="77777777" w:rsidR="00BB2F69" w:rsidRDefault="00581AA4" w:rsidP="007F7059">
            <w:pPr>
              <w:pStyle w:val="CETBodytext"/>
              <w:widowControl w:val="0"/>
              <w:jc w:val="left"/>
              <w:rPr>
                <w:rFonts w:cs="Arial"/>
                <w:szCs w:val="18"/>
              </w:rPr>
            </w:pPr>
            <w:r w:rsidRPr="001C1690">
              <w:rPr>
                <w:rFonts w:cs="Arial"/>
                <w:szCs w:val="18"/>
              </w:rPr>
              <w:t xml:space="preserve">4 Phases intervention </w:t>
            </w:r>
          </w:p>
          <w:p w14:paraId="3817CA6F" w14:textId="5EBE903C" w:rsidR="00581AA4" w:rsidRPr="001C1690" w:rsidRDefault="00581AA4" w:rsidP="007F7059">
            <w:pPr>
              <w:pStyle w:val="CETBodytext"/>
              <w:widowControl w:val="0"/>
              <w:jc w:val="left"/>
              <w:rPr>
                <w:rFonts w:cs="Arial"/>
                <w:szCs w:val="18"/>
              </w:rPr>
            </w:pPr>
            <w:r w:rsidRPr="001C1690">
              <w:rPr>
                <w:rFonts w:cs="Arial"/>
                <w:szCs w:val="18"/>
              </w:rPr>
              <w:t>Model</w:t>
            </w:r>
          </w:p>
        </w:tc>
        <w:tc>
          <w:tcPr>
            <w:tcW w:w="4500" w:type="dxa"/>
            <w:shd w:val="clear" w:color="auto" w:fill="FFFFFF"/>
          </w:tcPr>
          <w:p w14:paraId="03BDE429" w14:textId="3B221ABD" w:rsidR="00581AA4" w:rsidRDefault="00581AA4" w:rsidP="009839FB">
            <w:pPr>
              <w:pStyle w:val="CETBodytext"/>
              <w:widowControl w:val="0"/>
              <w:jc w:val="left"/>
              <w:rPr>
                <w:szCs w:val="18"/>
                <w:lang w:val="en-GB"/>
              </w:rPr>
            </w:pPr>
            <w:r>
              <w:t>Based on FA-7 FW demand</w:t>
            </w:r>
          </w:p>
        </w:tc>
        <w:tc>
          <w:tcPr>
            <w:tcW w:w="1440" w:type="dxa"/>
            <w:shd w:val="clear" w:color="auto" w:fill="FFFFFF"/>
          </w:tcPr>
          <w:p w14:paraId="26E6B896" w14:textId="0BD473E0" w:rsidR="00581AA4" w:rsidRDefault="00581AA4"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889</w:t>
            </w:r>
          </w:p>
        </w:tc>
      </w:tr>
      <w:tr w:rsidR="00581AA4" w:rsidRPr="00B57B36" w14:paraId="7E53459E" w14:textId="77777777" w:rsidTr="00356BE8">
        <w:trPr>
          <w:trHeight w:val="252"/>
        </w:trPr>
        <w:tc>
          <w:tcPr>
            <w:tcW w:w="2340" w:type="dxa"/>
            <w:vMerge/>
            <w:shd w:val="clear" w:color="auto" w:fill="FFFFFF"/>
            <w:vAlign w:val="center"/>
          </w:tcPr>
          <w:p w14:paraId="282DE6DB" w14:textId="77777777" w:rsidR="00581AA4" w:rsidRPr="00FB1C69" w:rsidRDefault="00581AA4" w:rsidP="007F7059">
            <w:pPr>
              <w:pStyle w:val="CETBodytext"/>
              <w:widowControl w:val="0"/>
              <w:jc w:val="left"/>
              <w:rPr>
                <w:rFonts w:cs="Arial"/>
                <w:b/>
                <w:bCs/>
                <w:szCs w:val="18"/>
              </w:rPr>
            </w:pPr>
          </w:p>
        </w:tc>
        <w:tc>
          <w:tcPr>
            <w:tcW w:w="4500" w:type="dxa"/>
            <w:shd w:val="clear" w:color="auto" w:fill="FFFFFF"/>
          </w:tcPr>
          <w:p w14:paraId="03FE2672" w14:textId="6071C54C" w:rsidR="00581AA4" w:rsidRDefault="00581AA4" w:rsidP="009839FB">
            <w:pPr>
              <w:pStyle w:val="CETBodytext"/>
              <w:widowControl w:val="0"/>
              <w:jc w:val="left"/>
              <w:rPr>
                <w:szCs w:val="18"/>
                <w:lang w:val="en-GB"/>
              </w:rPr>
            </w:pPr>
            <w:r>
              <w:t>Based on FA-15</w:t>
            </w:r>
            <w:r w:rsidR="00F34E5F">
              <w:t xml:space="preserve"> </w:t>
            </w:r>
            <w:r>
              <w:t>FW demand</w:t>
            </w:r>
          </w:p>
        </w:tc>
        <w:tc>
          <w:tcPr>
            <w:tcW w:w="1440" w:type="dxa"/>
            <w:shd w:val="clear" w:color="auto" w:fill="FFFFFF"/>
          </w:tcPr>
          <w:p w14:paraId="48159072" w14:textId="706E0A6D" w:rsidR="00581AA4" w:rsidRDefault="00581AA4" w:rsidP="00651467">
            <w:pPr>
              <w:pStyle w:val="CETBodytext"/>
              <w:widowControl w:val="0"/>
              <w:ind w:right="-1"/>
              <w:jc w:val="center"/>
              <w:rPr>
                <w:rFonts w:cs="Arial"/>
                <w:szCs w:val="18"/>
                <w:lang w:val="en-GB"/>
              </w:rPr>
            </w:pPr>
            <w:r>
              <w:rPr>
                <w:rFonts w:cs="Arial"/>
                <w:szCs w:val="18"/>
                <w:lang w:val="en-GB"/>
              </w:rPr>
              <w:t>1</w:t>
            </w:r>
            <w:r w:rsidR="00100C92">
              <w:rPr>
                <w:rFonts w:cs="Arial"/>
                <w:szCs w:val="18"/>
                <w:lang w:val="en-GB"/>
              </w:rPr>
              <w:t>,</w:t>
            </w:r>
            <w:r>
              <w:rPr>
                <w:rFonts w:cs="Arial"/>
                <w:szCs w:val="18"/>
                <w:lang w:val="en-GB"/>
              </w:rPr>
              <w:t>956</w:t>
            </w:r>
          </w:p>
        </w:tc>
      </w:tr>
    </w:tbl>
    <w:p w14:paraId="15A568A8" w14:textId="3DC4017C" w:rsidR="0022271F" w:rsidRPr="0078686C" w:rsidRDefault="0022271F" w:rsidP="0078686C">
      <w:pPr>
        <w:pStyle w:val="CETHeading1"/>
        <w:numPr>
          <w:ilvl w:val="1"/>
          <w:numId w:val="1"/>
        </w:numPr>
        <w:tabs>
          <w:tab w:val="num" w:pos="360"/>
        </w:tabs>
        <w:rPr>
          <w:lang w:val="en-GB"/>
        </w:rPr>
      </w:pPr>
      <w:r w:rsidRPr="0078686C">
        <w:rPr>
          <w:lang w:val="en-GB"/>
        </w:rPr>
        <w:t>Conclusions</w:t>
      </w:r>
    </w:p>
    <w:p w14:paraId="29DF7A09" w14:textId="10C401A7" w:rsidR="00E35120" w:rsidRDefault="00B66B7C" w:rsidP="00E845A5">
      <w:pPr>
        <w:rPr>
          <w:rFonts w:cs="Arial"/>
        </w:rPr>
      </w:pPr>
      <w:r w:rsidRPr="0072031F">
        <w:rPr>
          <w:rFonts w:cs="Arial"/>
        </w:rPr>
        <w:t xml:space="preserve">This </w:t>
      </w:r>
      <w:r w:rsidR="008058EF">
        <w:rPr>
          <w:rFonts w:cs="Arial"/>
        </w:rPr>
        <w:t>paper</w:t>
      </w:r>
      <w:r w:rsidR="0047484B" w:rsidRPr="0072031F">
        <w:rPr>
          <w:rFonts w:cs="Arial"/>
        </w:rPr>
        <w:t xml:space="preserve"> </w:t>
      </w:r>
      <w:r w:rsidR="00586328" w:rsidRPr="0072031F">
        <w:rPr>
          <w:rFonts w:cs="Arial"/>
        </w:rPr>
        <w:t>analy</w:t>
      </w:r>
      <w:r w:rsidR="006F2CB1">
        <w:rPr>
          <w:rFonts w:cs="Arial"/>
        </w:rPr>
        <w:t>s</w:t>
      </w:r>
      <w:r w:rsidR="00586328" w:rsidRPr="0072031F">
        <w:rPr>
          <w:rFonts w:cs="Arial"/>
        </w:rPr>
        <w:t>e</w:t>
      </w:r>
      <w:r w:rsidR="006F2CB1">
        <w:rPr>
          <w:rFonts w:cs="Arial"/>
        </w:rPr>
        <w:t>d</w:t>
      </w:r>
      <w:r w:rsidR="0047484B" w:rsidRPr="0072031F">
        <w:rPr>
          <w:rFonts w:cs="Arial"/>
        </w:rPr>
        <w:t xml:space="preserve"> </w:t>
      </w:r>
      <w:r w:rsidR="00BB1B1C" w:rsidRPr="0072031F">
        <w:rPr>
          <w:rFonts w:cs="Arial"/>
        </w:rPr>
        <w:t xml:space="preserve">the estimation of amount of firewater runoff to be discharged in the drainage systems and the sizing of retention pond presenting the results of the application of different models and their convergence to </w:t>
      </w:r>
      <w:r w:rsidR="009535C2">
        <w:rPr>
          <w:rFonts w:cs="Arial"/>
        </w:rPr>
        <w:t>a</w:t>
      </w:r>
      <w:r w:rsidR="00BB1B1C" w:rsidRPr="0072031F">
        <w:rPr>
          <w:rFonts w:cs="Arial"/>
        </w:rPr>
        <w:t xml:space="preserve"> design value. </w:t>
      </w:r>
      <w:r w:rsidR="009964C7">
        <w:rPr>
          <w:rFonts w:cs="Arial"/>
        </w:rPr>
        <w:t>T</w:t>
      </w:r>
      <w:r w:rsidR="00BD3275" w:rsidRPr="0072031F">
        <w:rPr>
          <w:rFonts w:cs="Arial"/>
        </w:rPr>
        <w:t xml:space="preserve">he retention volumes calculated using the different methods differ significantly </w:t>
      </w:r>
      <w:r w:rsidR="0072031F">
        <w:rPr>
          <w:rFonts w:cs="Arial"/>
        </w:rPr>
        <w:t>on the definition of fire area</w:t>
      </w:r>
      <w:r w:rsidR="00C26C53">
        <w:rPr>
          <w:rFonts w:cs="Arial"/>
        </w:rPr>
        <w:t xml:space="preserve"> surface</w:t>
      </w:r>
      <w:r w:rsidR="000B0D31">
        <w:rPr>
          <w:rFonts w:cs="Arial"/>
        </w:rPr>
        <w:t xml:space="preserve"> an</w:t>
      </w:r>
      <w:r w:rsidR="00993771">
        <w:rPr>
          <w:rFonts w:cs="Arial"/>
        </w:rPr>
        <w:t>d reduction parameters</w:t>
      </w:r>
      <w:r w:rsidR="00235388">
        <w:rPr>
          <w:rFonts w:cs="Arial"/>
        </w:rPr>
        <w:t xml:space="preserve">. </w:t>
      </w:r>
      <w:r w:rsidR="007F3C9E" w:rsidRPr="007C3717">
        <w:rPr>
          <w:rFonts w:cs="Arial"/>
        </w:rPr>
        <w:t xml:space="preserve">A limitation on maximum fire area surface on process plant results in an optimization of FW runoff retention volume, considering that the application of </w:t>
      </w:r>
      <w:r w:rsidR="00A93867" w:rsidRPr="007C3717">
        <w:rPr>
          <w:rFonts w:cs="Arial"/>
        </w:rPr>
        <w:t xml:space="preserve">all analysed </w:t>
      </w:r>
      <w:r w:rsidR="007F3C9E" w:rsidRPr="007C3717">
        <w:rPr>
          <w:rFonts w:cs="Arial"/>
        </w:rPr>
        <w:t xml:space="preserve">models </w:t>
      </w:r>
      <w:r w:rsidR="00A93867" w:rsidRPr="007C3717">
        <w:rPr>
          <w:rFonts w:cs="Arial"/>
        </w:rPr>
        <w:t xml:space="preserve">based </w:t>
      </w:r>
      <w:r w:rsidR="007F3C9E" w:rsidRPr="007C3717">
        <w:rPr>
          <w:rFonts w:cs="Arial"/>
        </w:rPr>
        <w:t>on plan surface of fire area results in bigger FW retention volumes compared to the application on equipment geometrical surface.</w:t>
      </w:r>
      <w:r w:rsidR="00A93867">
        <w:rPr>
          <w:rFonts w:cs="Arial"/>
        </w:rPr>
        <w:t xml:space="preserve"> </w:t>
      </w:r>
      <w:r w:rsidR="005109AA">
        <w:rPr>
          <w:rFonts w:cs="Arial"/>
        </w:rPr>
        <w:t xml:space="preserve">The VDS model </w:t>
      </w:r>
      <w:r w:rsidR="00765C50">
        <w:rPr>
          <w:rFonts w:cs="Arial"/>
        </w:rPr>
        <w:t>shows</w:t>
      </w:r>
      <w:r w:rsidR="00995748">
        <w:rPr>
          <w:rFonts w:cs="Arial"/>
        </w:rPr>
        <w:t xml:space="preserve"> the most conservative</w:t>
      </w:r>
      <w:r w:rsidR="000D3824">
        <w:rPr>
          <w:rFonts w:cs="Arial"/>
        </w:rPr>
        <w:t xml:space="preserve"> </w:t>
      </w:r>
      <w:r w:rsidR="0020083A">
        <w:rPr>
          <w:rFonts w:cs="Arial"/>
        </w:rPr>
        <w:t>results</w:t>
      </w:r>
      <w:r w:rsidR="00995748">
        <w:rPr>
          <w:rFonts w:cs="Arial"/>
        </w:rPr>
        <w:t xml:space="preserve"> while the Advanced JEG model </w:t>
      </w:r>
      <w:r w:rsidR="00C208F0">
        <w:rPr>
          <w:rFonts w:cs="Arial"/>
        </w:rPr>
        <w:t xml:space="preserve">turns out </w:t>
      </w:r>
      <w:r w:rsidR="00A6622F">
        <w:rPr>
          <w:rFonts w:cs="Arial"/>
        </w:rPr>
        <w:t xml:space="preserve">to give </w:t>
      </w:r>
      <w:r w:rsidR="004A141B">
        <w:rPr>
          <w:rFonts w:cs="Arial"/>
        </w:rPr>
        <w:t xml:space="preserve">lower Firewater runoff retention volumes. </w:t>
      </w:r>
      <w:r w:rsidR="00E46BFE">
        <w:rPr>
          <w:rFonts w:cs="Arial"/>
        </w:rPr>
        <w:t>T</w:t>
      </w:r>
      <w:r w:rsidR="009C3EC8">
        <w:rPr>
          <w:rFonts w:cs="Arial"/>
        </w:rPr>
        <w:t xml:space="preserve">he </w:t>
      </w:r>
      <w:r w:rsidR="009C3EC8" w:rsidRPr="00C8419C">
        <w:rPr>
          <w:rFonts w:cs="Arial"/>
        </w:rPr>
        <w:t>adoption of a test method</w:t>
      </w:r>
      <w:r w:rsidR="00235498">
        <w:rPr>
          <w:rFonts w:cs="Arial"/>
        </w:rPr>
        <w:t xml:space="preserve"> </w:t>
      </w:r>
      <w:r w:rsidR="00AF4DF6">
        <w:rPr>
          <w:rFonts w:cs="Arial"/>
        </w:rPr>
        <w:t>defined as “Four Phases intervention model</w:t>
      </w:r>
      <w:r w:rsidR="00EA5D6C">
        <w:rPr>
          <w:rFonts w:cs="Arial"/>
        </w:rPr>
        <w:t>”</w:t>
      </w:r>
      <w:r w:rsidR="00A965F8">
        <w:rPr>
          <w:rFonts w:cs="Arial"/>
        </w:rPr>
        <w:t>,</w:t>
      </w:r>
      <w:r w:rsidR="00AF4DF6">
        <w:rPr>
          <w:rFonts w:cs="Arial"/>
        </w:rPr>
        <w:t xml:space="preserve"> </w:t>
      </w:r>
      <w:r w:rsidR="00433D12">
        <w:rPr>
          <w:rFonts w:cs="Arial"/>
        </w:rPr>
        <w:t>that</w:t>
      </w:r>
      <w:r w:rsidR="00AF4DF6">
        <w:rPr>
          <w:rFonts w:cs="Arial"/>
        </w:rPr>
        <w:t xml:space="preserve"> </w:t>
      </w:r>
      <w:r w:rsidR="009C3EC8" w:rsidRPr="00C8419C">
        <w:rPr>
          <w:rFonts w:cs="Arial"/>
        </w:rPr>
        <w:t>evaluates the contribution of discharged foam and the time to deliver it to the retention basin considering the sequence of intervention of automatic/semiautomatic systems and the contribution given by fire brigades</w:t>
      </w:r>
      <w:r w:rsidR="00A965F8">
        <w:rPr>
          <w:rFonts w:cs="Arial"/>
        </w:rPr>
        <w:t>,</w:t>
      </w:r>
      <w:r w:rsidR="009C3EC8">
        <w:rPr>
          <w:rFonts w:cs="Arial"/>
        </w:rPr>
        <w:t xml:space="preserve"> can validate the results of selected models and the</w:t>
      </w:r>
      <w:r w:rsidR="00433D12">
        <w:rPr>
          <w:rFonts w:cs="Arial"/>
        </w:rPr>
        <w:t xml:space="preserve"> selection of</w:t>
      </w:r>
      <w:r w:rsidR="009C3EC8">
        <w:rPr>
          <w:rFonts w:cs="Arial"/>
        </w:rPr>
        <w:t xml:space="preserve"> parameters for the estimation of FW runoff retention volume.</w:t>
      </w:r>
    </w:p>
    <w:p w14:paraId="09B8FB58" w14:textId="37C31FD1" w:rsidR="00F5007B" w:rsidRPr="00280FAF" w:rsidRDefault="00F5007B" w:rsidP="00F5007B">
      <w:pPr>
        <w:pStyle w:val="CETHeadingxx"/>
        <w:rPr>
          <w:lang w:val="en-GB"/>
        </w:rPr>
        <w:sectPr w:rsidR="00F5007B" w:rsidRPr="00280FAF" w:rsidSect="00F5007B">
          <w:headerReference w:type="default" r:id="rId10"/>
          <w:footerReference w:type="default" r:id="rId11"/>
          <w:type w:val="continuous"/>
          <w:pgSz w:w="11906" w:h="16838" w:code="9"/>
          <w:pgMar w:top="1701" w:right="1418" w:bottom="1701" w:left="1701" w:header="1701" w:footer="0" w:gutter="0"/>
          <w:cols w:space="708"/>
          <w:formProt w:val="0"/>
          <w:titlePg/>
          <w:docGrid w:linePitch="360"/>
        </w:sectPr>
      </w:pPr>
      <w:r>
        <w:t>Nomenclature</w:t>
      </w:r>
    </w:p>
    <w:p w14:paraId="188F1226" w14:textId="710787DE" w:rsidR="00F5007B" w:rsidRPr="003C74B6" w:rsidRDefault="00F67798" w:rsidP="00F5007B">
      <w:pPr>
        <w:pStyle w:val="CETBodytext"/>
        <w:jc w:val="left"/>
        <w:rPr>
          <w:rFonts w:eastAsia="SimSun"/>
        </w:rPr>
      </w:pPr>
      <w:r w:rsidRPr="003C74B6">
        <w:rPr>
          <w:rFonts w:cs="Arial"/>
          <w:lang w:val="en-GB"/>
        </w:rPr>
        <w:t xml:space="preserve">A </w:t>
      </w:r>
      <w:r w:rsidRPr="003C74B6">
        <w:rPr>
          <w:rFonts w:eastAsia="SimSun"/>
        </w:rPr>
        <w:t>–</w:t>
      </w:r>
      <w:r w:rsidRPr="003C74B6">
        <w:rPr>
          <w:rFonts w:cs="Arial"/>
          <w:lang w:val="en-GB"/>
        </w:rPr>
        <w:t xml:space="preserve"> object surface or largest fire compartment, m</w:t>
      </w:r>
      <w:r w:rsidRPr="003C74B6">
        <w:rPr>
          <w:rFonts w:cs="Arial"/>
          <w:vertAlign w:val="superscript"/>
          <w:lang w:val="en-GB"/>
        </w:rPr>
        <w:t>2</w:t>
      </w:r>
    </w:p>
    <w:p w14:paraId="43B7F19A" w14:textId="77777777" w:rsidR="00F5007B" w:rsidRPr="003C74B6" w:rsidRDefault="00F5007B" w:rsidP="00F5007B">
      <w:pPr>
        <w:pStyle w:val="CETBodytext"/>
        <w:jc w:val="left"/>
        <w:rPr>
          <w:rFonts w:eastAsia="SimSun"/>
        </w:rPr>
        <w:sectPr w:rsidR="00F5007B" w:rsidRPr="003C74B6" w:rsidSect="00F5007B">
          <w:type w:val="continuous"/>
          <w:pgSz w:w="11906" w:h="16838" w:code="9"/>
          <w:pgMar w:top="1701" w:right="1418" w:bottom="1701" w:left="1701" w:header="1701" w:footer="0" w:gutter="0"/>
          <w:cols w:space="708"/>
          <w:formProt w:val="0"/>
          <w:titlePg/>
          <w:docGrid w:linePitch="360"/>
        </w:sectPr>
      </w:pPr>
    </w:p>
    <w:p w14:paraId="1CC36E6A" w14:textId="34386183" w:rsidR="00127F29" w:rsidRPr="00627C58" w:rsidRDefault="00127F29" w:rsidP="00127F29">
      <w:pPr>
        <w:pStyle w:val="CETBodytext"/>
        <w:rPr>
          <w:rFonts w:cs="Arial"/>
          <w:lang w:val="en-GB"/>
        </w:rPr>
      </w:pPr>
      <w:r w:rsidRPr="00627C58">
        <w:rPr>
          <w:rFonts w:cs="Arial"/>
          <w:lang w:val="en-GB"/>
        </w:rPr>
        <w:t>A</w:t>
      </w:r>
      <w:r w:rsidRPr="001872DC">
        <w:rPr>
          <w:rFonts w:cs="Arial"/>
          <w:vertAlign w:val="subscript"/>
          <w:lang w:val="en-GB"/>
        </w:rPr>
        <w:t>f</w:t>
      </w:r>
      <w:r w:rsidRPr="00627C58">
        <w:rPr>
          <w:rFonts w:cs="Arial"/>
          <w:lang w:val="en-GB"/>
        </w:rPr>
        <w:t xml:space="preserve"> – object surface or largest fire compartment surface area</w:t>
      </w:r>
      <w:r>
        <w:rPr>
          <w:rFonts w:cs="Arial"/>
          <w:lang w:val="en-GB"/>
        </w:rPr>
        <w:t xml:space="preserve">, </w:t>
      </w:r>
      <w:r w:rsidRPr="00627C58">
        <w:rPr>
          <w:rFonts w:cs="Arial"/>
          <w:lang w:val="en-GB"/>
        </w:rPr>
        <w:t>m</w:t>
      </w:r>
      <w:r w:rsidRPr="002F409A">
        <w:rPr>
          <w:rFonts w:cs="Arial"/>
          <w:vertAlign w:val="superscript"/>
          <w:lang w:val="en-GB"/>
        </w:rPr>
        <w:t>2</w:t>
      </w:r>
    </w:p>
    <w:p w14:paraId="589F14A8" w14:textId="77777777" w:rsidR="00781559" w:rsidRPr="008F3C50" w:rsidRDefault="00781559" w:rsidP="00781559">
      <w:pPr>
        <w:pStyle w:val="CETBodytext"/>
      </w:pPr>
      <w:r w:rsidRPr="00627C58">
        <w:t>Aw</w:t>
      </w:r>
      <w:r>
        <w:t xml:space="preserve"> </w:t>
      </w:r>
      <w:r w:rsidRPr="003C74B6">
        <w:rPr>
          <w:rFonts w:eastAsia="SimSun"/>
        </w:rPr>
        <w:t>–</w:t>
      </w:r>
      <w:r>
        <w:t xml:space="preserve"> </w:t>
      </w:r>
      <w:r w:rsidRPr="00627C58">
        <w:t xml:space="preserve">wetted cross-sectional area of water in the </w:t>
      </w:r>
      <w:r w:rsidRPr="008F3C50">
        <w:t>drainage waterway, m</w:t>
      </w:r>
      <w:r w:rsidRPr="008F3C50">
        <w:rPr>
          <w:vertAlign w:val="superscript"/>
        </w:rPr>
        <w:t>2</w:t>
      </w:r>
    </w:p>
    <w:p w14:paraId="0D17E1F4" w14:textId="1999AD81" w:rsidR="00F67798" w:rsidRPr="008F3C50" w:rsidRDefault="00F67798" w:rsidP="00F67798">
      <w:pPr>
        <w:pStyle w:val="CETBodytext"/>
        <w:rPr>
          <w:rFonts w:cs="Arial"/>
          <w:lang w:val="en-GB"/>
        </w:rPr>
      </w:pPr>
      <w:r w:rsidRPr="008F3C50">
        <w:rPr>
          <w:rFonts w:cs="Arial"/>
          <w:lang w:val="en-GB"/>
        </w:rPr>
        <w:t xml:space="preserve">BAF </w:t>
      </w:r>
      <w:r w:rsidRPr="008F3C50">
        <w:rPr>
          <w:rFonts w:eastAsia="SimSun"/>
        </w:rPr>
        <w:t>–</w:t>
      </w:r>
      <w:r w:rsidRPr="008F3C50">
        <w:rPr>
          <w:rFonts w:cs="Arial"/>
          <w:lang w:val="en-GB"/>
        </w:rPr>
        <w:t xml:space="preserve"> fire section area factor, -</w:t>
      </w:r>
    </w:p>
    <w:p w14:paraId="6844016A" w14:textId="77777777" w:rsidR="00F67798" w:rsidRPr="008F3C50" w:rsidRDefault="00F67798" w:rsidP="00F67798">
      <w:pPr>
        <w:pStyle w:val="CETBodytext"/>
        <w:rPr>
          <w:rFonts w:cs="Arial"/>
          <w:lang w:val="en-GB"/>
        </w:rPr>
      </w:pPr>
      <w:r w:rsidRPr="008F3C50">
        <w:rPr>
          <w:rFonts w:cs="Arial"/>
          <w:lang w:val="en-GB"/>
        </w:rPr>
        <w:t xml:space="preserve">BBF </w:t>
      </w:r>
      <w:r w:rsidRPr="008F3C50">
        <w:rPr>
          <w:rFonts w:eastAsia="SimSun"/>
        </w:rPr>
        <w:t>–</w:t>
      </w:r>
      <w:r w:rsidRPr="008F3C50">
        <w:rPr>
          <w:rFonts w:cs="Arial"/>
          <w:lang w:val="en-GB"/>
        </w:rPr>
        <w:t xml:space="preserve"> fire load factor, -</w:t>
      </w:r>
    </w:p>
    <w:p w14:paraId="2D11C59B" w14:textId="77777777" w:rsidR="005577D4" w:rsidRPr="008F3C50" w:rsidRDefault="005577D4" w:rsidP="005577D4">
      <w:pPr>
        <w:pStyle w:val="CETBodytext"/>
        <w:rPr>
          <w:rFonts w:cs="Arial"/>
          <w:lang w:val="en-GB"/>
        </w:rPr>
      </w:pPr>
      <w:r w:rsidRPr="008F3C50">
        <w:rPr>
          <w:rFonts w:cs="Arial"/>
          <w:lang w:val="en-GB"/>
        </w:rPr>
        <w:t xml:space="preserve">BSF </w:t>
      </w:r>
      <w:r w:rsidRPr="008F3C50">
        <w:rPr>
          <w:rFonts w:eastAsia="SimSun"/>
        </w:rPr>
        <w:t>–</w:t>
      </w:r>
      <w:r w:rsidRPr="008F3C50">
        <w:rPr>
          <w:rFonts w:cs="Arial"/>
          <w:lang w:val="en-GB"/>
        </w:rPr>
        <w:t xml:space="preserve"> fire protection factor, -</w:t>
      </w:r>
    </w:p>
    <w:p w14:paraId="4C031B9F" w14:textId="77777777" w:rsidR="000A1A03" w:rsidRPr="008F3C50" w:rsidRDefault="000A1A03" w:rsidP="000A1A03">
      <w:pPr>
        <w:pStyle w:val="CETBodytext"/>
      </w:pPr>
      <w:r w:rsidRPr="008F3C50">
        <w:t xml:space="preserve">C </w:t>
      </w:r>
      <w:r w:rsidRPr="008F3C50">
        <w:rPr>
          <w:rFonts w:eastAsia="SimSun"/>
        </w:rPr>
        <w:t>–</w:t>
      </w:r>
      <w:r w:rsidRPr="008F3C50">
        <w:t xml:space="preserve"> Hazen and Williams Roughness coefficient, -</w:t>
      </w:r>
    </w:p>
    <w:p w14:paraId="307C056C" w14:textId="49A3C00B" w:rsidR="002447C7" w:rsidRPr="008F3C50" w:rsidRDefault="002447C7" w:rsidP="000A1A03">
      <w:pPr>
        <w:pStyle w:val="CETBodytext"/>
      </w:pPr>
      <w:r w:rsidRPr="008F3C50">
        <w:t xml:space="preserve">FW </w:t>
      </w:r>
      <w:r w:rsidR="00B16CDA" w:rsidRPr="008F3C50">
        <w:t>–</w:t>
      </w:r>
      <w:r w:rsidRPr="008F3C50">
        <w:t xml:space="preserve"> Fire</w:t>
      </w:r>
      <w:r w:rsidR="00B16CDA" w:rsidRPr="008F3C50">
        <w:t xml:space="preserve"> Water, -</w:t>
      </w:r>
    </w:p>
    <w:p w14:paraId="7BCD6AEE" w14:textId="6D7EB1E8" w:rsidR="00D80506" w:rsidRPr="008F3C50" w:rsidRDefault="00320634" w:rsidP="000A1A03">
      <w:pPr>
        <w:pStyle w:val="CETBodytext"/>
      </w:pPr>
      <w:r w:rsidRPr="008F3C50">
        <w:t xml:space="preserve">h </w:t>
      </w:r>
      <w:r w:rsidRPr="008F3C50">
        <w:rPr>
          <w:rFonts w:eastAsia="SimSun"/>
        </w:rPr>
        <w:t xml:space="preserve">– </w:t>
      </w:r>
      <w:r w:rsidRPr="008F3C50">
        <w:rPr>
          <w:rFonts w:cs="Arial"/>
          <w:szCs w:val="18"/>
          <w:lang w:val="en-GB"/>
        </w:rPr>
        <w:t>height of liquid pool, m</w:t>
      </w:r>
    </w:p>
    <w:p w14:paraId="57181DB0" w14:textId="4F38E6E9" w:rsidR="004B792D" w:rsidRPr="008F3C50" w:rsidRDefault="007052EF" w:rsidP="004B792D">
      <w:pPr>
        <w:pStyle w:val="CETBodytext"/>
        <w:rPr>
          <w:rFonts w:eastAsia="SimSun"/>
        </w:rPr>
      </w:pPr>
      <w:r w:rsidRPr="008F3C50">
        <w:rPr>
          <w:rFonts w:cs="Arial"/>
          <w:lang w:val="en-GB"/>
        </w:rPr>
        <w:t xml:space="preserve">K </w:t>
      </w:r>
      <w:r w:rsidRPr="008F3C50">
        <w:rPr>
          <w:rFonts w:eastAsia="SimSun"/>
        </w:rPr>
        <w:t xml:space="preserve">– </w:t>
      </w:r>
      <w:r w:rsidR="00C851AD">
        <w:rPr>
          <w:rFonts w:eastAsia="SimSun"/>
        </w:rPr>
        <w:t>r</w:t>
      </w:r>
      <w:r w:rsidR="004B792D" w:rsidRPr="008F3C50">
        <w:rPr>
          <w:rFonts w:eastAsia="SimSun"/>
        </w:rPr>
        <w:t>eduction factor for effects like evaporation of water, -</w:t>
      </w:r>
    </w:p>
    <w:p w14:paraId="00E5D3E4" w14:textId="5337CC97" w:rsidR="007052EF" w:rsidRPr="008F3C50" w:rsidRDefault="004B792D" w:rsidP="004B792D">
      <w:pPr>
        <w:pStyle w:val="CETBodytext"/>
        <w:rPr>
          <w:rFonts w:cs="Arial"/>
          <w:lang w:val="en-GB"/>
        </w:rPr>
      </w:pPr>
      <w:r w:rsidRPr="008F3C50">
        <w:rPr>
          <w:rFonts w:eastAsia="SimSun"/>
        </w:rPr>
        <w:t>in contact with fire</w:t>
      </w:r>
    </w:p>
    <w:p w14:paraId="02511B66" w14:textId="50E1C8EC" w:rsidR="005577D4" w:rsidRPr="008F3C50" w:rsidRDefault="005577D4" w:rsidP="005577D4">
      <w:pPr>
        <w:pStyle w:val="CETBodytext"/>
        <w:rPr>
          <w:rFonts w:cs="Arial"/>
          <w:lang w:val="en-GB"/>
        </w:rPr>
      </w:pPr>
      <w:r w:rsidRPr="008F3C50">
        <w:rPr>
          <w:rFonts w:cs="Arial"/>
          <w:lang w:val="en-GB"/>
        </w:rPr>
        <w:t xml:space="preserve">M </w:t>
      </w:r>
      <w:r w:rsidRPr="008F3C50">
        <w:rPr>
          <w:rFonts w:eastAsia="SimSun"/>
        </w:rPr>
        <w:t>–</w:t>
      </w:r>
      <w:r w:rsidRPr="008F3C50">
        <w:rPr>
          <w:rFonts w:cs="Arial"/>
          <w:lang w:val="en-GB"/>
        </w:rPr>
        <w:t xml:space="preserve"> volume of all stored materials, m</w:t>
      </w:r>
      <w:r w:rsidRPr="008F3C50">
        <w:rPr>
          <w:rFonts w:cs="Arial"/>
          <w:vertAlign w:val="superscript"/>
          <w:lang w:val="en-GB"/>
        </w:rPr>
        <w:t>3</w:t>
      </w:r>
    </w:p>
    <w:p w14:paraId="25D71BB2" w14:textId="3950D6B7" w:rsidR="00187414" w:rsidRPr="008F3C50" w:rsidRDefault="00187414" w:rsidP="00187414">
      <w:pPr>
        <w:pStyle w:val="CETBodytext"/>
      </w:pPr>
      <w:r w:rsidRPr="008F3C50">
        <w:t xml:space="preserve">r </w:t>
      </w:r>
      <w:r w:rsidRPr="008F3C50">
        <w:rPr>
          <w:rFonts w:eastAsia="SimSun"/>
        </w:rPr>
        <w:t>–</w:t>
      </w:r>
      <w:r w:rsidRPr="008F3C50">
        <w:t xml:space="preserve"> hydraulic radius, m</w:t>
      </w:r>
    </w:p>
    <w:p w14:paraId="3055FAA1" w14:textId="77777777" w:rsidR="002071E8" w:rsidRPr="008F3C50" w:rsidRDefault="002071E8" w:rsidP="002071E8">
      <w:pPr>
        <w:pStyle w:val="CETBodytext"/>
      </w:pPr>
      <w:r w:rsidRPr="008F3C50">
        <w:t xml:space="preserve">Pw </w:t>
      </w:r>
      <w:r w:rsidRPr="008F3C50">
        <w:rPr>
          <w:rFonts w:eastAsia="SimSun"/>
        </w:rPr>
        <w:t>–</w:t>
      </w:r>
      <w:r w:rsidRPr="008F3C50">
        <w:t xml:space="preserve"> wetted cross-sectional perimeter of water in the drainage waterway, m</w:t>
      </w:r>
    </w:p>
    <w:p w14:paraId="0EBD7DF2" w14:textId="01270B89" w:rsidR="00EB35F7" w:rsidRPr="008F3C50" w:rsidRDefault="00EB35F7" w:rsidP="00572890">
      <w:pPr>
        <w:pStyle w:val="CETBodytext"/>
        <w:rPr>
          <w:rFonts w:eastAsia="SimSun"/>
        </w:rPr>
      </w:pPr>
      <w:r w:rsidRPr="008F3C50">
        <w:rPr>
          <w:rFonts w:cs="Arial"/>
          <w:lang w:val="en-GB"/>
        </w:rPr>
        <w:t>Q</w:t>
      </w:r>
      <w:r w:rsidR="008F3C50" w:rsidRPr="008F3C50">
        <w:rPr>
          <w:rFonts w:cs="Arial"/>
          <w:vertAlign w:val="subscript"/>
          <w:lang w:val="en-GB"/>
        </w:rPr>
        <w:t>open ch</w:t>
      </w:r>
      <w:r w:rsidRPr="008F3C50">
        <w:rPr>
          <w:rFonts w:cs="Arial"/>
          <w:lang w:val="en-GB"/>
        </w:rPr>
        <w:t xml:space="preserve"> </w:t>
      </w:r>
      <w:r w:rsidRPr="008F3C50">
        <w:rPr>
          <w:rFonts w:eastAsia="SimSun"/>
        </w:rPr>
        <w:t xml:space="preserve">– </w:t>
      </w:r>
      <w:r w:rsidR="008F3C50" w:rsidRPr="008F3C50">
        <w:rPr>
          <w:rFonts w:eastAsia="SimSun"/>
        </w:rPr>
        <w:t xml:space="preserve">open channel </w:t>
      </w:r>
      <w:r w:rsidRPr="008F3C50">
        <w:rPr>
          <w:rFonts w:eastAsia="SimSun"/>
        </w:rPr>
        <w:t>flow</w:t>
      </w:r>
      <w:r w:rsidR="001E2E39" w:rsidRPr="008F3C50">
        <w:rPr>
          <w:rFonts w:eastAsia="SimSun"/>
        </w:rPr>
        <w:t>rate</w:t>
      </w:r>
      <w:r w:rsidR="00B07F7C" w:rsidRPr="008F3C50">
        <w:rPr>
          <w:rFonts w:eastAsia="SimSun"/>
        </w:rPr>
        <w:t xml:space="preserve">, </w:t>
      </w:r>
      <w:r w:rsidR="00B07F7C" w:rsidRPr="008F3C50">
        <w:rPr>
          <w:rFonts w:cs="Arial"/>
          <w:lang w:val="en-GB"/>
        </w:rPr>
        <w:t>m</w:t>
      </w:r>
      <w:r w:rsidR="00B07F7C" w:rsidRPr="008F3C50">
        <w:rPr>
          <w:rFonts w:cs="Arial"/>
          <w:vertAlign w:val="superscript"/>
          <w:lang w:val="en-GB"/>
        </w:rPr>
        <w:t>3</w:t>
      </w:r>
      <w:r w:rsidR="00B07F7C" w:rsidRPr="008F3C50">
        <w:rPr>
          <w:rFonts w:eastAsia="SimSun"/>
        </w:rPr>
        <w:t>/s</w:t>
      </w:r>
    </w:p>
    <w:p w14:paraId="60921772" w14:textId="33619786" w:rsidR="00EA6476" w:rsidRDefault="001339FF" w:rsidP="00572890">
      <w:pPr>
        <w:pStyle w:val="CETBodytext"/>
        <w:rPr>
          <w:rFonts w:cs="Arial"/>
          <w:lang w:val="en-GB"/>
        </w:rPr>
      </w:pPr>
      <w:r w:rsidRPr="008F3C50">
        <w:rPr>
          <w:rFonts w:eastAsia="SimSun"/>
        </w:rPr>
        <w:t>Q</w:t>
      </w:r>
      <w:r w:rsidRPr="008F3C50">
        <w:rPr>
          <w:rFonts w:eastAsia="SimSun"/>
          <w:vertAlign w:val="subscript"/>
        </w:rPr>
        <w:t>FW</w:t>
      </w:r>
      <w:r w:rsidRPr="008F3C50">
        <w:rPr>
          <w:rFonts w:eastAsia="SimSun"/>
        </w:rPr>
        <w:t xml:space="preserve"> – </w:t>
      </w:r>
      <w:r w:rsidR="00196451" w:rsidRPr="008F3C50">
        <w:rPr>
          <w:rFonts w:eastAsia="SimSun"/>
        </w:rPr>
        <w:t xml:space="preserve">firewater flowrate, </w:t>
      </w:r>
      <w:r w:rsidR="00196451" w:rsidRPr="008F3C50">
        <w:rPr>
          <w:rFonts w:cs="Arial"/>
          <w:lang w:val="en-GB"/>
        </w:rPr>
        <w:t>m</w:t>
      </w:r>
      <w:r w:rsidR="00196451" w:rsidRPr="008F3C50">
        <w:rPr>
          <w:rFonts w:cs="Arial"/>
          <w:vertAlign w:val="superscript"/>
          <w:lang w:val="en-GB"/>
        </w:rPr>
        <w:t>3</w:t>
      </w:r>
      <w:r w:rsidR="00196451" w:rsidRPr="008F3C50">
        <w:rPr>
          <w:rFonts w:eastAsia="SimSun"/>
        </w:rPr>
        <w:t>/s</w:t>
      </w:r>
    </w:p>
    <w:p w14:paraId="3191CDFD" w14:textId="5D367F46" w:rsidR="00572890" w:rsidRPr="003C74B6" w:rsidRDefault="00572890" w:rsidP="00572890">
      <w:pPr>
        <w:pStyle w:val="CETBodytext"/>
        <w:rPr>
          <w:rFonts w:cs="Arial"/>
          <w:lang w:val="en-GB"/>
        </w:rPr>
      </w:pPr>
      <w:r w:rsidRPr="003C74B6">
        <w:rPr>
          <w:rFonts w:cs="Arial"/>
          <w:lang w:val="en-GB"/>
        </w:rPr>
        <w:t xml:space="preserve">R </w:t>
      </w:r>
      <w:r w:rsidR="00CF63D7" w:rsidRPr="003C74B6">
        <w:rPr>
          <w:rFonts w:eastAsia="SimSun"/>
        </w:rPr>
        <w:t>–</w:t>
      </w:r>
      <w:r w:rsidRPr="003C74B6">
        <w:rPr>
          <w:rFonts w:cs="Arial"/>
          <w:lang w:val="en-GB"/>
        </w:rPr>
        <w:t xml:space="preserve"> FW runoff retention Volume, m</w:t>
      </w:r>
      <w:r w:rsidRPr="003C74B6">
        <w:rPr>
          <w:rFonts w:cs="Arial"/>
          <w:vertAlign w:val="superscript"/>
          <w:lang w:val="en-GB"/>
        </w:rPr>
        <w:t>3</w:t>
      </w:r>
    </w:p>
    <w:p w14:paraId="5ACE405F" w14:textId="77777777" w:rsidR="00D50361" w:rsidRPr="00627C58" w:rsidRDefault="00D50361" w:rsidP="00D50361">
      <w:pPr>
        <w:pStyle w:val="CETBodytext"/>
      </w:pPr>
      <w:r w:rsidRPr="00627C58">
        <w:t>S</w:t>
      </w:r>
      <w:r>
        <w:t xml:space="preserve"> </w:t>
      </w:r>
      <w:r w:rsidRPr="003C74B6">
        <w:rPr>
          <w:rFonts w:eastAsia="SimSun"/>
        </w:rPr>
        <w:t>–</w:t>
      </w:r>
      <w:r>
        <w:t xml:space="preserve"> </w:t>
      </w:r>
      <w:r w:rsidRPr="00627C58">
        <w:t xml:space="preserve">hydraulic gradient </w:t>
      </w:r>
      <w:r>
        <w:t>–</w:t>
      </w:r>
      <w:r w:rsidRPr="00627C58">
        <w:t xml:space="preserve"> slope</w:t>
      </w:r>
      <w:r>
        <w:t xml:space="preserve">, </w:t>
      </w:r>
      <w:r w:rsidRPr="00627C58">
        <w:t>m/m</w:t>
      </w:r>
    </w:p>
    <w:p w14:paraId="1AD74C30" w14:textId="3B283E15" w:rsidR="005577D4" w:rsidRDefault="005577D4" w:rsidP="005577D4">
      <w:pPr>
        <w:pStyle w:val="CETBodytext"/>
        <w:rPr>
          <w:rFonts w:cs="Arial"/>
          <w:lang w:val="en-GB"/>
        </w:rPr>
      </w:pPr>
      <w:r w:rsidRPr="003C74B6">
        <w:rPr>
          <w:rFonts w:cs="Arial"/>
          <w:lang w:val="en-GB"/>
        </w:rPr>
        <w:t xml:space="preserve">SWL </w:t>
      </w:r>
      <w:r w:rsidRPr="003C74B6">
        <w:rPr>
          <w:rFonts w:eastAsia="SimSun"/>
        </w:rPr>
        <w:t>–</w:t>
      </w:r>
      <w:r w:rsidRPr="003C74B6">
        <w:rPr>
          <w:rFonts w:cs="Arial"/>
          <w:lang w:val="en-GB"/>
        </w:rPr>
        <w:t xml:space="preserve"> specific water input, m</w:t>
      </w:r>
      <w:r w:rsidRPr="003C74B6">
        <w:rPr>
          <w:rFonts w:cs="Arial"/>
          <w:vertAlign w:val="superscript"/>
          <w:lang w:val="en-GB"/>
        </w:rPr>
        <w:t>3</w:t>
      </w:r>
      <w:r w:rsidRPr="003C74B6">
        <w:rPr>
          <w:rFonts w:cs="Arial"/>
          <w:lang w:val="en-GB"/>
        </w:rPr>
        <w:t>/m</w:t>
      </w:r>
      <w:r w:rsidRPr="003C74B6">
        <w:rPr>
          <w:rFonts w:cs="Arial"/>
          <w:vertAlign w:val="superscript"/>
          <w:lang w:val="en-GB"/>
        </w:rPr>
        <w:t>2</w:t>
      </w:r>
      <w:r>
        <w:rPr>
          <w:rFonts w:cs="Arial"/>
          <w:lang w:val="en-GB"/>
        </w:rPr>
        <w:t xml:space="preserve"> </w:t>
      </w:r>
    </w:p>
    <w:p w14:paraId="40F5CE9A" w14:textId="0FE7E1EE" w:rsidR="00FB460C" w:rsidRPr="00790C6E" w:rsidRDefault="00FB460C" w:rsidP="00FB460C">
      <w:pPr>
        <w:pStyle w:val="CETBodytext"/>
      </w:pPr>
      <w:r w:rsidRPr="009173FE">
        <w:t xml:space="preserve">t </w:t>
      </w:r>
      <w:r w:rsidR="001278D5" w:rsidRPr="003C74B6">
        <w:rPr>
          <w:rFonts w:eastAsia="SimSun"/>
        </w:rPr>
        <w:t>–</w:t>
      </w:r>
      <w:r w:rsidRPr="00790C6E">
        <w:t xml:space="preserve"> phase 4 duration</w:t>
      </w:r>
      <w:r w:rsidR="00052E3A">
        <w:t xml:space="preserve">, </w:t>
      </w:r>
      <w:r w:rsidRPr="00790C6E">
        <w:t>s</w:t>
      </w:r>
    </w:p>
    <w:p w14:paraId="2C7297EB" w14:textId="77777777" w:rsidR="000C1047" w:rsidRDefault="00FB460C" w:rsidP="00FB460C">
      <w:pPr>
        <w:pStyle w:val="CETBodytext"/>
      </w:pPr>
      <w:r w:rsidRPr="009173FE">
        <w:t>t</w:t>
      </w:r>
      <w:r w:rsidRPr="0075635B">
        <w:rPr>
          <w:vertAlign w:val="subscript"/>
        </w:rPr>
        <w:t>e</w:t>
      </w:r>
      <w:r w:rsidRPr="00790C6E">
        <w:t xml:space="preserve"> </w:t>
      </w:r>
      <w:r w:rsidR="001278D5" w:rsidRPr="003C74B6">
        <w:rPr>
          <w:rFonts w:eastAsia="SimSun"/>
        </w:rPr>
        <w:t>–</w:t>
      </w:r>
      <w:r w:rsidRPr="00790C6E">
        <w:t xml:space="preserve"> time of entry into the system equal to 60 s</w:t>
      </w:r>
    </w:p>
    <w:p w14:paraId="3103BB8B" w14:textId="76538E2C" w:rsidR="00FB460C" w:rsidRPr="00790C6E" w:rsidRDefault="00EA6476" w:rsidP="00FB460C">
      <w:pPr>
        <w:pStyle w:val="CETBodytext"/>
      </w:pPr>
      <w:r>
        <w:t>t</w:t>
      </w:r>
      <w:r w:rsidRPr="00EA6476">
        <w:rPr>
          <w:vertAlign w:val="subscript"/>
        </w:rPr>
        <w:t>f</w:t>
      </w:r>
      <w:r w:rsidR="00FB460C" w:rsidRPr="00790C6E">
        <w:t xml:space="preserve"> </w:t>
      </w:r>
      <w:r w:rsidRPr="003C74B6">
        <w:rPr>
          <w:rFonts w:eastAsia="SimSun"/>
        </w:rPr>
        <w:t>–</w:t>
      </w:r>
      <w:r>
        <w:rPr>
          <w:rFonts w:eastAsia="SimSun"/>
        </w:rPr>
        <w:t xml:space="preserve"> fire scenario duration, s</w:t>
      </w:r>
    </w:p>
    <w:p w14:paraId="754DB3C0" w14:textId="43325C68" w:rsidR="00FB460C" w:rsidRDefault="00FB460C" w:rsidP="00FB460C">
      <w:pPr>
        <w:pStyle w:val="CETBodytext"/>
      </w:pPr>
      <w:r w:rsidRPr="009173FE">
        <w:t>t</w:t>
      </w:r>
      <w:r w:rsidRPr="0075635B">
        <w:rPr>
          <w:vertAlign w:val="subscript"/>
        </w:rPr>
        <w:t>t</w:t>
      </w:r>
      <w:r w:rsidRPr="00790C6E">
        <w:t xml:space="preserve"> </w:t>
      </w:r>
      <w:r w:rsidR="001278D5" w:rsidRPr="003C74B6">
        <w:rPr>
          <w:rFonts w:eastAsia="SimSun"/>
        </w:rPr>
        <w:t>–</w:t>
      </w:r>
      <w:r w:rsidRPr="00790C6E">
        <w:t xml:space="preserve"> time of travel inside the pipes</w:t>
      </w:r>
      <w:r w:rsidR="001278D5">
        <w:t>,</w:t>
      </w:r>
      <w:r w:rsidRPr="00790C6E">
        <w:t xml:space="preserve"> s</w:t>
      </w:r>
    </w:p>
    <w:p w14:paraId="0DEA7E3E" w14:textId="77777777" w:rsidR="00704790" w:rsidRDefault="00704790" w:rsidP="00704790">
      <w:pPr>
        <w:pStyle w:val="CETBodytext"/>
      </w:pPr>
      <w:r w:rsidRPr="00627C58">
        <w:t>V</w:t>
      </w:r>
      <w:r>
        <w:t xml:space="preserve"> </w:t>
      </w:r>
      <w:r w:rsidRPr="003C74B6">
        <w:rPr>
          <w:rFonts w:eastAsia="SimSun"/>
        </w:rPr>
        <w:t>–</w:t>
      </w:r>
      <w:r>
        <w:t xml:space="preserve"> </w:t>
      </w:r>
      <w:r w:rsidRPr="00627C58">
        <w:t>velocity of flow</w:t>
      </w:r>
      <w:r>
        <w:t xml:space="preserve">, </w:t>
      </w:r>
      <w:r w:rsidRPr="00627C58">
        <w:t>m/s</w:t>
      </w:r>
    </w:p>
    <w:p w14:paraId="3B235BC0" w14:textId="2E657E7A" w:rsidR="00C22198" w:rsidRPr="00627C58" w:rsidRDefault="00C22198" w:rsidP="00704790">
      <w:pPr>
        <w:pStyle w:val="CETBodytext"/>
      </w:pPr>
      <w:r>
        <w:t>V</w:t>
      </w:r>
      <w:r w:rsidRPr="00C22198">
        <w:rPr>
          <w:vertAlign w:val="subscript"/>
        </w:rPr>
        <w:t>b</w:t>
      </w:r>
      <w:r>
        <w:t xml:space="preserve"> </w:t>
      </w:r>
      <w:r w:rsidRPr="003C74B6">
        <w:rPr>
          <w:rFonts w:eastAsia="SimSun"/>
        </w:rPr>
        <w:t>–</w:t>
      </w:r>
      <w:r>
        <w:rPr>
          <w:rFonts w:eastAsia="SimSun"/>
        </w:rPr>
        <w:t xml:space="preserve"> burning rate</w:t>
      </w:r>
      <w:r w:rsidR="0078176B">
        <w:rPr>
          <w:rFonts w:eastAsia="SimSun"/>
        </w:rPr>
        <w:t>, m/s</w:t>
      </w:r>
    </w:p>
    <w:p w14:paraId="2592184E" w14:textId="1C5C1E6D" w:rsidR="00FB460C" w:rsidRPr="00E377D0" w:rsidRDefault="00FB460C" w:rsidP="00F5007B">
      <w:pPr>
        <w:pStyle w:val="CETBodytext"/>
        <w:jc w:val="left"/>
        <w:rPr>
          <w:rFonts w:eastAsia="SimSun"/>
        </w:rPr>
        <w:sectPr w:rsidR="00FB460C" w:rsidRPr="00E377D0" w:rsidSect="00F5007B">
          <w:type w:val="continuous"/>
          <w:pgSz w:w="11906" w:h="16838" w:code="9"/>
          <w:pgMar w:top="1701" w:right="1418" w:bottom="1701" w:left="1701" w:header="1701" w:footer="0" w:gutter="0"/>
          <w:cols w:num="2" w:space="708"/>
          <w:formProt w:val="0"/>
          <w:titlePg/>
          <w:docGrid w:linePitch="360"/>
        </w:sectPr>
      </w:pPr>
    </w:p>
    <w:p w14:paraId="6032F8BF" w14:textId="59DF786E" w:rsidR="00F80D57" w:rsidRPr="00B57B36" w:rsidRDefault="00F80D57" w:rsidP="00F80D57">
      <w:pPr>
        <w:pStyle w:val="CETReference"/>
      </w:pPr>
      <w:r w:rsidRPr="00B57B36">
        <w:t>References</w:t>
      </w:r>
    </w:p>
    <w:p w14:paraId="4D597D50" w14:textId="23F07170" w:rsidR="0086711F" w:rsidRPr="00627C58" w:rsidRDefault="0086711F" w:rsidP="0086711F">
      <w:pPr>
        <w:pStyle w:val="CETReferencetext"/>
        <w:rPr>
          <w:rFonts w:cs="Arial"/>
        </w:rPr>
      </w:pPr>
      <w:r w:rsidRPr="00627C58">
        <w:rPr>
          <w:rFonts w:cs="Arial"/>
        </w:rPr>
        <w:t>API Standard 521 Pressure-relieving and Depressuring Systems, 2022 Edition.</w:t>
      </w:r>
    </w:p>
    <w:p w14:paraId="0E8B21AD" w14:textId="420D403A" w:rsidR="004C6CFE" w:rsidRPr="00627C58" w:rsidRDefault="004C6CFE" w:rsidP="004C6CFE">
      <w:pPr>
        <w:pStyle w:val="CETReferencetext"/>
        <w:rPr>
          <w:rFonts w:cs="Arial"/>
        </w:rPr>
      </w:pPr>
      <w:r w:rsidRPr="00627C58">
        <w:rPr>
          <w:rFonts w:cs="Arial"/>
        </w:rPr>
        <w:t>Fire</w:t>
      </w:r>
      <w:r w:rsidR="00B16EE0">
        <w:rPr>
          <w:rFonts w:cs="Arial"/>
        </w:rPr>
        <w:t>f</w:t>
      </w:r>
      <w:r w:rsidRPr="00627C58">
        <w:rPr>
          <w:rFonts w:cs="Arial"/>
        </w:rPr>
        <w:t>ighting in Process Plants Analysis of Actual Firewater Consumption, Chemical Engineering Transactions, 19, 297-302 - Rigolio M., 2010;</w:t>
      </w:r>
    </w:p>
    <w:p w14:paraId="0A97AB0A" w14:textId="287CD03F" w:rsidR="004C6CFE" w:rsidRPr="00627C58" w:rsidRDefault="004C6CFE" w:rsidP="004C6CFE">
      <w:pPr>
        <w:pStyle w:val="CETReferencetext"/>
        <w:rPr>
          <w:rFonts w:cs="Arial"/>
        </w:rPr>
      </w:pPr>
      <w:r w:rsidRPr="00627C58">
        <w:rPr>
          <w:rFonts w:cs="Arial"/>
        </w:rPr>
        <w:t>German guidelines for loss prevention (planning and installation of facilities for retention of extinguishing water) (VDS 2557,2013);</w:t>
      </w:r>
    </w:p>
    <w:p w14:paraId="45C562B9" w14:textId="5D250895" w:rsidR="004C6CFE" w:rsidRPr="00627C58" w:rsidRDefault="004C6CFE" w:rsidP="004C6CFE">
      <w:pPr>
        <w:pStyle w:val="CETReferencetext"/>
        <w:rPr>
          <w:rFonts w:cs="Arial"/>
        </w:rPr>
      </w:pPr>
      <w:r w:rsidRPr="00627C58">
        <w:rPr>
          <w:rFonts w:cs="Arial"/>
        </w:rPr>
        <w:t>NFPA 11 - Standard for Low-, Medium-, and High-Expansion Foam</w:t>
      </w:r>
      <w:r w:rsidR="009A242E">
        <w:rPr>
          <w:rFonts w:cs="Arial"/>
        </w:rPr>
        <w:t xml:space="preserve"> - 2024</w:t>
      </w:r>
    </w:p>
    <w:p w14:paraId="7D4D54CC" w14:textId="77777777" w:rsidR="0086711F" w:rsidRPr="00627C58" w:rsidRDefault="0086711F" w:rsidP="0078686C">
      <w:pPr>
        <w:pStyle w:val="CETReferencetext"/>
        <w:rPr>
          <w:rFonts w:cs="Arial"/>
        </w:rPr>
      </w:pPr>
      <w:r w:rsidRPr="00627C58">
        <w:rPr>
          <w:rFonts w:cs="Arial"/>
        </w:rPr>
        <w:t>Safety guidelines and good practices for the management and retention of firefighting water, 2019, UNECE (United Nations Economic Commission for Europe)</w:t>
      </w:r>
    </w:p>
    <w:sectPr w:rsidR="0086711F" w:rsidRPr="00627C58" w:rsidSect="0078686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B43A" w14:textId="77777777" w:rsidR="00515BBC" w:rsidRDefault="00515BBC" w:rsidP="0078686C">
      <w:r>
        <w:separator/>
      </w:r>
    </w:p>
  </w:endnote>
  <w:endnote w:type="continuationSeparator" w:id="0">
    <w:p w14:paraId="71EA5898" w14:textId="77777777" w:rsidR="00515BBC" w:rsidRDefault="00515BBC" w:rsidP="0078686C">
      <w:r>
        <w:continuationSeparator/>
      </w:r>
    </w:p>
  </w:endnote>
  <w:endnote w:type="continuationNotice" w:id="1">
    <w:p w14:paraId="61613235" w14:textId="77777777" w:rsidR="00515BBC" w:rsidRDefault="00515BBC" w:rsidP="007868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2291" w14:textId="77777777" w:rsidR="0078686C" w:rsidRDefault="0078686C" w:rsidP="007868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1F9C" w14:textId="77777777" w:rsidR="00515BBC" w:rsidRDefault="00515BBC" w:rsidP="0078686C">
      <w:r>
        <w:separator/>
      </w:r>
    </w:p>
  </w:footnote>
  <w:footnote w:type="continuationSeparator" w:id="0">
    <w:p w14:paraId="0750EDBE" w14:textId="77777777" w:rsidR="00515BBC" w:rsidRDefault="00515BBC" w:rsidP="0078686C">
      <w:r>
        <w:continuationSeparator/>
      </w:r>
    </w:p>
  </w:footnote>
  <w:footnote w:type="continuationNotice" w:id="1">
    <w:p w14:paraId="6431A76A" w14:textId="77777777" w:rsidR="00515BBC" w:rsidRDefault="00515BBC" w:rsidP="007868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288F" w14:textId="77777777" w:rsidR="0078686C" w:rsidRDefault="0078686C" w:rsidP="007868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3A3633"/>
    <w:multiLevelType w:val="hybridMultilevel"/>
    <w:tmpl w:val="0A42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89EC9FC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E74D6E"/>
    <w:multiLevelType w:val="hybridMultilevel"/>
    <w:tmpl w:val="5DBE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1308826322">
    <w:abstractNumId w:val="12"/>
  </w:num>
  <w:num w:numId="25" w16cid:durableId="1849707033">
    <w:abstractNumId w:val="12"/>
  </w:num>
  <w:num w:numId="26" w16cid:durableId="1511529425">
    <w:abstractNumId w:val="12"/>
  </w:num>
  <w:num w:numId="27" w16cid:durableId="2025980700">
    <w:abstractNumId w:val="12"/>
  </w:num>
  <w:num w:numId="28" w16cid:durableId="588974331">
    <w:abstractNumId w:val="12"/>
  </w:num>
  <w:num w:numId="29" w16cid:durableId="1023361420">
    <w:abstractNumId w:val="12"/>
  </w:num>
  <w:num w:numId="30" w16cid:durableId="1301426770">
    <w:abstractNumId w:val="15"/>
  </w:num>
  <w:num w:numId="31" w16cid:durableId="939301">
    <w:abstractNumId w:val="12"/>
  </w:num>
  <w:num w:numId="32" w16cid:durableId="55247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78"/>
    <w:rsid w:val="000027C0"/>
    <w:rsid w:val="00002FD0"/>
    <w:rsid w:val="000052FB"/>
    <w:rsid w:val="00005A19"/>
    <w:rsid w:val="00007BAA"/>
    <w:rsid w:val="000117CB"/>
    <w:rsid w:val="00013B3C"/>
    <w:rsid w:val="00014D8F"/>
    <w:rsid w:val="00016EF0"/>
    <w:rsid w:val="00020AC2"/>
    <w:rsid w:val="000226DB"/>
    <w:rsid w:val="0002610B"/>
    <w:rsid w:val="00030DE1"/>
    <w:rsid w:val="0003148D"/>
    <w:rsid w:val="00031BC9"/>
    <w:rsid w:val="00031EEC"/>
    <w:rsid w:val="000331AE"/>
    <w:rsid w:val="00034819"/>
    <w:rsid w:val="00035FC0"/>
    <w:rsid w:val="000368D2"/>
    <w:rsid w:val="000416B2"/>
    <w:rsid w:val="00046E3C"/>
    <w:rsid w:val="00047313"/>
    <w:rsid w:val="000504DB"/>
    <w:rsid w:val="00051566"/>
    <w:rsid w:val="00052774"/>
    <w:rsid w:val="00052E3A"/>
    <w:rsid w:val="000562A9"/>
    <w:rsid w:val="0006210E"/>
    <w:rsid w:val="00062A9A"/>
    <w:rsid w:val="00063115"/>
    <w:rsid w:val="00064613"/>
    <w:rsid w:val="00065058"/>
    <w:rsid w:val="00066AAC"/>
    <w:rsid w:val="00067DEA"/>
    <w:rsid w:val="00072969"/>
    <w:rsid w:val="0007338E"/>
    <w:rsid w:val="0007394A"/>
    <w:rsid w:val="00074F96"/>
    <w:rsid w:val="000805CE"/>
    <w:rsid w:val="00080B9A"/>
    <w:rsid w:val="0008478C"/>
    <w:rsid w:val="00086A2C"/>
    <w:rsid w:val="00086C39"/>
    <w:rsid w:val="0009124A"/>
    <w:rsid w:val="00095E6F"/>
    <w:rsid w:val="0009601B"/>
    <w:rsid w:val="000975D0"/>
    <w:rsid w:val="000A03B2"/>
    <w:rsid w:val="000A07B9"/>
    <w:rsid w:val="000A1A03"/>
    <w:rsid w:val="000B0D31"/>
    <w:rsid w:val="000B152A"/>
    <w:rsid w:val="000C1047"/>
    <w:rsid w:val="000C3D03"/>
    <w:rsid w:val="000C41F3"/>
    <w:rsid w:val="000D0268"/>
    <w:rsid w:val="000D24B7"/>
    <w:rsid w:val="000D34BE"/>
    <w:rsid w:val="000D3824"/>
    <w:rsid w:val="000D406E"/>
    <w:rsid w:val="000D661F"/>
    <w:rsid w:val="000E0B3C"/>
    <w:rsid w:val="000E102F"/>
    <w:rsid w:val="000E2919"/>
    <w:rsid w:val="000E36F1"/>
    <w:rsid w:val="000E3A73"/>
    <w:rsid w:val="000E414A"/>
    <w:rsid w:val="000E75FD"/>
    <w:rsid w:val="000F093C"/>
    <w:rsid w:val="000F2A56"/>
    <w:rsid w:val="000F2B62"/>
    <w:rsid w:val="000F787B"/>
    <w:rsid w:val="00100C92"/>
    <w:rsid w:val="0012091F"/>
    <w:rsid w:val="00121B6E"/>
    <w:rsid w:val="0012522C"/>
    <w:rsid w:val="001261C5"/>
    <w:rsid w:val="00126BC2"/>
    <w:rsid w:val="001278D5"/>
    <w:rsid w:val="00127F29"/>
    <w:rsid w:val="001308B6"/>
    <w:rsid w:val="0013121F"/>
    <w:rsid w:val="001319AD"/>
    <w:rsid w:val="00131FE6"/>
    <w:rsid w:val="0013263F"/>
    <w:rsid w:val="001331DF"/>
    <w:rsid w:val="001339FF"/>
    <w:rsid w:val="00134B2C"/>
    <w:rsid w:val="00134DE4"/>
    <w:rsid w:val="001354E8"/>
    <w:rsid w:val="001364AF"/>
    <w:rsid w:val="001401EB"/>
    <w:rsid w:val="0014034D"/>
    <w:rsid w:val="00140FE3"/>
    <w:rsid w:val="0014166D"/>
    <w:rsid w:val="0014267C"/>
    <w:rsid w:val="00144140"/>
    <w:rsid w:val="00144D16"/>
    <w:rsid w:val="00145F6C"/>
    <w:rsid w:val="001471A6"/>
    <w:rsid w:val="00150E59"/>
    <w:rsid w:val="00152DE3"/>
    <w:rsid w:val="00157907"/>
    <w:rsid w:val="0016086F"/>
    <w:rsid w:val="0016478A"/>
    <w:rsid w:val="00164CF9"/>
    <w:rsid w:val="001667A6"/>
    <w:rsid w:val="001767C0"/>
    <w:rsid w:val="00177EBE"/>
    <w:rsid w:val="0018171E"/>
    <w:rsid w:val="00181819"/>
    <w:rsid w:val="00182630"/>
    <w:rsid w:val="001848D7"/>
    <w:rsid w:val="00184AD6"/>
    <w:rsid w:val="00186338"/>
    <w:rsid w:val="001872DC"/>
    <w:rsid w:val="00187414"/>
    <w:rsid w:val="00191506"/>
    <w:rsid w:val="00192610"/>
    <w:rsid w:val="00194019"/>
    <w:rsid w:val="0019471D"/>
    <w:rsid w:val="001949F5"/>
    <w:rsid w:val="00196451"/>
    <w:rsid w:val="00196467"/>
    <w:rsid w:val="001A0022"/>
    <w:rsid w:val="001A1479"/>
    <w:rsid w:val="001A4AF7"/>
    <w:rsid w:val="001A6265"/>
    <w:rsid w:val="001B0349"/>
    <w:rsid w:val="001B1E93"/>
    <w:rsid w:val="001B3D14"/>
    <w:rsid w:val="001B65C1"/>
    <w:rsid w:val="001B7C83"/>
    <w:rsid w:val="001C1690"/>
    <w:rsid w:val="001C260F"/>
    <w:rsid w:val="001C3298"/>
    <w:rsid w:val="001C5C3A"/>
    <w:rsid w:val="001C684B"/>
    <w:rsid w:val="001D0CFB"/>
    <w:rsid w:val="001D17BB"/>
    <w:rsid w:val="001D21AF"/>
    <w:rsid w:val="001D36ED"/>
    <w:rsid w:val="001D53FC"/>
    <w:rsid w:val="001D5FBF"/>
    <w:rsid w:val="001E1B6B"/>
    <w:rsid w:val="001E1D45"/>
    <w:rsid w:val="001E2E39"/>
    <w:rsid w:val="001E4021"/>
    <w:rsid w:val="001E493A"/>
    <w:rsid w:val="001E6775"/>
    <w:rsid w:val="001F42A5"/>
    <w:rsid w:val="001F62C1"/>
    <w:rsid w:val="001F7B39"/>
    <w:rsid w:val="001F7B9D"/>
    <w:rsid w:val="002003A1"/>
    <w:rsid w:val="0020083A"/>
    <w:rsid w:val="00201C93"/>
    <w:rsid w:val="0020220E"/>
    <w:rsid w:val="002071E8"/>
    <w:rsid w:val="00207752"/>
    <w:rsid w:val="002077D5"/>
    <w:rsid w:val="00217712"/>
    <w:rsid w:val="00221CE1"/>
    <w:rsid w:val="00222110"/>
    <w:rsid w:val="002224B4"/>
    <w:rsid w:val="0022271F"/>
    <w:rsid w:val="002241E3"/>
    <w:rsid w:val="00224882"/>
    <w:rsid w:val="00235388"/>
    <w:rsid w:val="00235498"/>
    <w:rsid w:val="00240761"/>
    <w:rsid w:val="002447C7"/>
    <w:rsid w:val="002447EF"/>
    <w:rsid w:val="00250883"/>
    <w:rsid w:val="00251550"/>
    <w:rsid w:val="00254190"/>
    <w:rsid w:val="00260336"/>
    <w:rsid w:val="00262674"/>
    <w:rsid w:val="00263B05"/>
    <w:rsid w:val="0026499D"/>
    <w:rsid w:val="0027221A"/>
    <w:rsid w:val="00273B05"/>
    <w:rsid w:val="00274961"/>
    <w:rsid w:val="002754F2"/>
    <w:rsid w:val="00275B61"/>
    <w:rsid w:val="00275CFC"/>
    <w:rsid w:val="00280FAF"/>
    <w:rsid w:val="00282656"/>
    <w:rsid w:val="00286654"/>
    <w:rsid w:val="00291E7D"/>
    <w:rsid w:val="00294D2A"/>
    <w:rsid w:val="002967F0"/>
    <w:rsid w:val="00296B83"/>
    <w:rsid w:val="002A43F5"/>
    <w:rsid w:val="002A53EF"/>
    <w:rsid w:val="002B1F44"/>
    <w:rsid w:val="002B30D1"/>
    <w:rsid w:val="002B4015"/>
    <w:rsid w:val="002B78CE"/>
    <w:rsid w:val="002C22E4"/>
    <w:rsid w:val="002C2FB6"/>
    <w:rsid w:val="002C6CCE"/>
    <w:rsid w:val="002D3BC0"/>
    <w:rsid w:val="002E18D4"/>
    <w:rsid w:val="002E5FA7"/>
    <w:rsid w:val="002E6EA3"/>
    <w:rsid w:val="002F0924"/>
    <w:rsid w:val="002F3309"/>
    <w:rsid w:val="002F409A"/>
    <w:rsid w:val="002F4D44"/>
    <w:rsid w:val="003008CE"/>
    <w:rsid w:val="003009B7"/>
    <w:rsid w:val="00300E56"/>
    <w:rsid w:val="0030152C"/>
    <w:rsid w:val="00304022"/>
    <w:rsid w:val="0030469C"/>
    <w:rsid w:val="003072BB"/>
    <w:rsid w:val="00316F74"/>
    <w:rsid w:val="00320634"/>
    <w:rsid w:val="00321790"/>
    <w:rsid w:val="00321CA6"/>
    <w:rsid w:val="00323763"/>
    <w:rsid w:val="00323C5F"/>
    <w:rsid w:val="003255CD"/>
    <w:rsid w:val="00326CA0"/>
    <w:rsid w:val="00334C09"/>
    <w:rsid w:val="003378A5"/>
    <w:rsid w:val="003438D7"/>
    <w:rsid w:val="0034729A"/>
    <w:rsid w:val="003473E7"/>
    <w:rsid w:val="0035233D"/>
    <w:rsid w:val="003529C0"/>
    <w:rsid w:val="00355F63"/>
    <w:rsid w:val="00356BE8"/>
    <w:rsid w:val="003607A5"/>
    <w:rsid w:val="00360899"/>
    <w:rsid w:val="00362BA5"/>
    <w:rsid w:val="003715B2"/>
    <w:rsid w:val="003723D4"/>
    <w:rsid w:val="003727A0"/>
    <w:rsid w:val="00375258"/>
    <w:rsid w:val="00375A77"/>
    <w:rsid w:val="003768CF"/>
    <w:rsid w:val="00381905"/>
    <w:rsid w:val="00383A04"/>
    <w:rsid w:val="00384CC8"/>
    <w:rsid w:val="003871FD"/>
    <w:rsid w:val="003A1E30"/>
    <w:rsid w:val="003A2829"/>
    <w:rsid w:val="003A7D1C"/>
    <w:rsid w:val="003B0940"/>
    <w:rsid w:val="003B304B"/>
    <w:rsid w:val="003B3146"/>
    <w:rsid w:val="003B49CD"/>
    <w:rsid w:val="003B64C6"/>
    <w:rsid w:val="003C1C84"/>
    <w:rsid w:val="003C31AB"/>
    <w:rsid w:val="003C74B6"/>
    <w:rsid w:val="003C7F76"/>
    <w:rsid w:val="003D073F"/>
    <w:rsid w:val="003D09C4"/>
    <w:rsid w:val="003D1E02"/>
    <w:rsid w:val="003D3173"/>
    <w:rsid w:val="003D46BD"/>
    <w:rsid w:val="003E6251"/>
    <w:rsid w:val="003F015E"/>
    <w:rsid w:val="003F5197"/>
    <w:rsid w:val="00400414"/>
    <w:rsid w:val="00401315"/>
    <w:rsid w:val="004067F5"/>
    <w:rsid w:val="00407706"/>
    <w:rsid w:val="00407CBF"/>
    <w:rsid w:val="0041446B"/>
    <w:rsid w:val="00415294"/>
    <w:rsid w:val="00422F46"/>
    <w:rsid w:val="004257A8"/>
    <w:rsid w:val="0042616B"/>
    <w:rsid w:val="004324FB"/>
    <w:rsid w:val="00433D12"/>
    <w:rsid w:val="0043535C"/>
    <w:rsid w:val="00435C38"/>
    <w:rsid w:val="0044071E"/>
    <w:rsid w:val="0044177D"/>
    <w:rsid w:val="00442C68"/>
    <w:rsid w:val="0044329C"/>
    <w:rsid w:val="00444156"/>
    <w:rsid w:val="00450B8D"/>
    <w:rsid w:val="00453E24"/>
    <w:rsid w:val="004543E8"/>
    <w:rsid w:val="00457456"/>
    <w:rsid w:val="004577FE"/>
    <w:rsid w:val="00457B9C"/>
    <w:rsid w:val="0046164A"/>
    <w:rsid w:val="004616C0"/>
    <w:rsid w:val="004628D2"/>
    <w:rsid w:val="00462DCD"/>
    <w:rsid w:val="004648AD"/>
    <w:rsid w:val="004703A9"/>
    <w:rsid w:val="004732E4"/>
    <w:rsid w:val="0047484B"/>
    <w:rsid w:val="004760DE"/>
    <w:rsid w:val="004763D7"/>
    <w:rsid w:val="00480BC0"/>
    <w:rsid w:val="00485300"/>
    <w:rsid w:val="00486C1C"/>
    <w:rsid w:val="004908E9"/>
    <w:rsid w:val="004A004E"/>
    <w:rsid w:val="004A141B"/>
    <w:rsid w:val="004A24CF"/>
    <w:rsid w:val="004B21CC"/>
    <w:rsid w:val="004B2B7F"/>
    <w:rsid w:val="004B6590"/>
    <w:rsid w:val="004B792D"/>
    <w:rsid w:val="004B798B"/>
    <w:rsid w:val="004C0750"/>
    <w:rsid w:val="004C0CAD"/>
    <w:rsid w:val="004C286F"/>
    <w:rsid w:val="004C3D1D"/>
    <w:rsid w:val="004C3D84"/>
    <w:rsid w:val="004C6CFE"/>
    <w:rsid w:val="004C7897"/>
    <w:rsid w:val="004C7913"/>
    <w:rsid w:val="004D43D7"/>
    <w:rsid w:val="004E24A7"/>
    <w:rsid w:val="004E28A2"/>
    <w:rsid w:val="004E356F"/>
    <w:rsid w:val="004E4DD6"/>
    <w:rsid w:val="004E6955"/>
    <w:rsid w:val="004F1D85"/>
    <w:rsid w:val="004F208D"/>
    <w:rsid w:val="004F4FC4"/>
    <w:rsid w:val="004F5E36"/>
    <w:rsid w:val="004F6EB4"/>
    <w:rsid w:val="004F7243"/>
    <w:rsid w:val="0050395B"/>
    <w:rsid w:val="005052AC"/>
    <w:rsid w:val="00507B47"/>
    <w:rsid w:val="00507BEF"/>
    <w:rsid w:val="00507CC9"/>
    <w:rsid w:val="005109AA"/>
    <w:rsid w:val="00510AA8"/>
    <w:rsid w:val="005119A5"/>
    <w:rsid w:val="00511D4D"/>
    <w:rsid w:val="00514983"/>
    <w:rsid w:val="00515BBC"/>
    <w:rsid w:val="005218C6"/>
    <w:rsid w:val="00522F51"/>
    <w:rsid w:val="005263AE"/>
    <w:rsid w:val="005278B7"/>
    <w:rsid w:val="00532016"/>
    <w:rsid w:val="00533417"/>
    <w:rsid w:val="005346C8"/>
    <w:rsid w:val="00537F47"/>
    <w:rsid w:val="005424FC"/>
    <w:rsid w:val="00543E7D"/>
    <w:rsid w:val="00545471"/>
    <w:rsid w:val="00547A68"/>
    <w:rsid w:val="00550ABA"/>
    <w:rsid w:val="00552247"/>
    <w:rsid w:val="0055298B"/>
    <w:rsid w:val="005531C9"/>
    <w:rsid w:val="00554648"/>
    <w:rsid w:val="00554879"/>
    <w:rsid w:val="0055539B"/>
    <w:rsid w:val="0055548E"/>
    <w:rsid w:val="005557C4"/>
    <w:rsid w:val="005577D4"/>
    <w:rsid w:val="00570C43"/>
    <w:rsid w:val="00572890"/>
    <w:rsid w:val="00581918"/>
    <w:rsid w:val="00581AA4"/>
    <w:rsid w:val="005835B3"/>
    <w:rsid w:val="0058520C"/>
    <w:rsid w:val="00586328"/>
    <w:rsid w:val="0058663E"/>
    <w:rsid w:val="00586FAF"/>
    <w:rsid w:val="00592274"/>
    <w:rsid w:val="005924AE"/>
    <w:rsid w:val="00592CC6"/>
    <w:rsid w:val="00592EC1"/>
    <w:rsid w:val="005A330F"/>
    <w:rsid w:val="005A3C1E"/>
    <w:rsid w:val="005A4F9F"/>
    <w:rsid w:val="005B2110"/>
    <w:rsid w:val="005B2539"/>
    <w:rsid w:val="005B350B"/>
    <w:rsid w:val="005B61E6"/>
    <w:rsid w:val="005B7207"/>
    <w:rsid w:val="005C72F8"/>
    <w:rsid w:val="005C77E1"/>
    <w:rsid w:val="005D19D0"/>
    <w:rsid w:val="005D5E2B"/>
    <w:rsid w:val="005D668A"/>
    <w:rsid w:val="005D6A2F"/>
    <w:rsid w:val="005D773A"/>
    <w:rsid w:val="005E0592"/>
    <w:rsid w:val="005E1A82"/>
    <w:rsid w:val="005E4B94"/>
    <w:rsid w:val="005E567E"/>
    <w:rsid w:val="005E76F2"/>
    <w:rsid w:val="005E794C"/>
    <w:rsid w:val="005F00FD"/>
    <w:rsid w:val="005F01E2"/>
    <w:rsid w:val="005F0A28"/>
    <w:rsid w:val="005F0E5E"/>
    <w:rsid w:val="005F1028"/>
    <w:rsid w:val="005F1BE5"/>
    <w:rsid w:val="005F350F"/>
    <w:rsid w:val="005F43E7"/>
    <w:rsid w:val="005F5491"/>
    <w:rsid w:val="005F5541"/>
    <w:rsid w:val="00600535"/>
    <w:rsid w:val="00600E4D"/>
    <w:rsid w:val="00610CD6"/>
    <w:rsid w:val="0061618D"/>
    <w:rsid w:val="00616AC3"/>
    <w:rsid w:val="0061711B"/>
    <w:rsid w:val="00620DEE"/>
    <w:rsid w:val="00621F92"/>
    <w:rsid w:val="0062280A"/>
    <w:rsid w:val="006231E1"/>
    <w:rsid w:val="00625639"/>
    <w:rsid w:val="00626506"/>
    <w:rsid w:val="00627C58"/>
    <w:rsid w:val="00631B33"/>
    <w:rsid w:val="00631C9C"/>
    <w:rsid w:val="00634050"/>
    <w:rsid w:val="0063497F"/>
    <w:rsid w:val="00635036"/>
    <w:rsid w:val="0064184D"/>
    <w:rsid w:val="006422CC"/>
    <w:rsid w:val="006423B5"/>
    <w:rsid w:val="00646AC7"/>
    <w:rsid w:val="00647437"/>
    <w:rsid w:val="00651467"/>
    <w:rsid w:val="00651D18"/>
    <w:rsid w:val="00660E3E"/>
    <w:rsid w:val="00662E74"/>
    <w:rsid w:val="006649A6"/>
    <w:rsid w:val="00666A29"/>
    <w:rsid w:val="00670BEA"/>
    <w:rsid w:val="00675D7A"/>
    <w:rsid w:val="00680C23"/>
    <w:rsid w:val="00683511"/>
    <w:rsid w:val="00683E23"/>
    <w:rsid w:val="006853E7"/>
    <w:rsid w:val="00686F88"/>
    <w:rsid w:val="0069063B"/>
    <w:rsid w:val="006906FF"/>
    <w:rsid w:val="00691690"/>
    <w:rsid w:val="00691CC5"/>
    <w:rsid w:val="00693311"/>
    <w:rsid w:val="00693766"/>
    <w:rsid w:val="00694E47"/>
    <w:rsid w:val="006A2941"/>
    <w:rsid w:val="006A3281"/>
    <w:rsid w:val="006A6DE5"/>
    <w:rsid w:val="006B4888"/>
    <w:rsid w:val="006B4CB2"/>
    <w:rsid w:val="006B7AFD"/>
    <w:rsid w:val="006C09D0"/>
    <w:rsid w:val="006C2E45"/>
    <w:rsid w:val="006C359C"/>
    <w:rsid w:val="006C5579"/>
    <w:rsid w:val="006C7076"/>
    <w:rsid w:val="006D0BC8"/>
    <w:rsid w:val="006D2189"/>
    <w:rsid w:val="006D5527"/>
    <w:rsid w:val="006D5D5E"/>
    <w:rsid w:val="006D6E8B"/>
    <w:rsid w:val="006D7209"/>
    <w:rsid w:val="006E190F"/>
    <w:rsid w:val="006E22ED"/>
    <w:rsid w:val="006E5608"/>
    <w:rsid w:val="006E5D7C"/>
    <w:rsid w:val="006E6B85"/>
    <w:rsid w:val="006E737D"/>
    <w:rsid w:val="006F2CB1"/>
    <w:rsid w:val="006F328A"/>
    <w:rsid w:val="006F4C2E"/>
    <w:rsid w:val="006F5A25"/>
    <w:rsid w:val="006F7547"/>
    <w:rsid w:val="006F7BBC"/>
    <w:rsid w:val="00704790"/>
    <w:rsid w:val="007052EF"/>
    <w:rsid w:val="00705501"/>
    <w:rsid w:val="0070613A"/>
    <w:rsid w:val="00707DD1"/>
    <w:rsid w:val="00713973"/>
    <w:rsid w:val="00715788"/>
    <w:rsid w:val="007202A6"/>
    <w:rsid w:val="0072031F"/>
    <w:rsid w:val="00720A24"/>
    <w:rsid w:val="00721A86"/>
    <w:rsid w:val="007221D8"/>
    <w:rsid w:val="0072722C"/>
    <w:rsid w:val="007276D3"/>
    <w:rsid w:val="00730F13"/>
    <w:rsid w:val="0073100D"/>
    <w:rsid w:val="00732386"/>
    <w:rsid w:val="0073408D"/>
    <w:rsid w:val="0073514D"/>
    <w:rsid w:val="00742CF1"/>
    <w:rsid w:val="007447F3"/>
    <w:rsid w:val="00745359"/>
    <w:rsid w:val="00746FE0"/>
    <w:rsid w:val="00752160"/>
    <w:rsid w:val="0075499F"/>
    <w:rsid w:val="00756327"/>
    <w:rsid w:val="0075635B"/>
    <w:rsid w:val="00764BB7"/>
    <w:rsid w:val="00765C50"/>
    <w:rsid w:val="007661C8"/>
    <w:rsid w:val="0077098D"/>
    <w:rsid w:val="00770BB6"/>
    <w:rsid w:val="00771CDC"/>
    <w:rsid w:val="00771D4C"/>
    <w:rsid w:val="00774439"/>
    <w:rsid w:val="00781559"/>
    <w:rsid w:val="0078176B"/>
    <w:rsid w:val="00785BF9"/>
    <w:rsid w:val="00786107"/>
    <w:rsid w:val="007862FF"/>
    <w:rsid w:val="0078686C"/>
    <w:rsid w:val="00790C6E"/>
    <w:rsid w:val="007930CC"/>
    <w:rsid w:val="007931FA"/>
    <w:rsid w:val="007957FE"/>
    <w:rsid w:val="00797699"/>
    <w:rsid w:val="00797965"/>
    <w:rsid w:val="007A10CD"/>
    <w:rsid w:val="007A4861"/>
    <w:rsid w:val="007A77CB"/>
    <w:rsid w:val="007A7BBA"/>
    <w:rsid w:val="007B0C50"/>
    <w:rsid w:val="007B48F9"/>
    <w:rsid w:val="007B7B56"/>
    <w:rsid w:val="007C1A43"/>
    <w:rsid w:val="007C3717"/>
    <w:rsid w:val="007C59BF"/>
    <w:rsid w:val="007C7FAF"/>
    <w:rsid w:val="007D0537"/>
    <w:rsid w:val="007D0951"/>
    <w:rsid w:val="007D298F"/>
    <w:rsid w:val="007D4D76"/>
    <w:rsid w:val="007D610D"/>
    <w:rsid w:val="007E1AA4"/>
    <w:rsid w:val="007E5BF1"/>
    <w:rsid w:val="007F1E08"/>
    <w:rsid w:val="007F3C9E"/>
    <w:rsid w:val="007F7059"/>
    <w:rsid w:val="007F72C1"/>
    <w:rsid w:val="0080013E"/>
    <w:rsid w:val="0080019D"/>
    <w:rsid w:val="00801759"/>
    <w:rsid w:val="00801EF7"/>
    <w:rsid w:val="008049DF"/>
    <w:rsid w:val="008058EF"/>
    <w:rsid w:val="008064A5"/>
    <w:rsid w:val="008070A9"/>
    <w:rsid w:val="00813288"/>
    <w:rsid w:val="008168FC"/>
    <w:rsid w:val="008169BB"/>
    <w:rsid w:val="008177BC"/>
    <w:rsid w:val="00820475"/>
    <w:rsid w:val="00820771"/>
    <w:rsid w:val="00824D44"/>
    <w:rsid w:val="00830996"/>
    <w:rsid w:val="00830FC3"/>
    <w:rsid w:val="008345F1"/>
    <w:rsid w:val="00834E88"/>
    <w:rsid w:val="0085118D"/>
    <w:rsid w:val="00855AF3"/>
    <w:rsid w:val="008567C8"/>
    <w:rsid w:val="00864A6C"/>
    <w:rsid w:val="0086536E"/>
    <w:rsid w:val="00865B07"/>
    <w:rsid w:val="00865DE3"/>
    <w:rsid w:val="008667EA"/>
    <w:rsid w:val="0086711F"/>
    <w:rsid w:val="00872E4A"/>
    <w:rsid w:val="00874EF4"/>
    <w:rsid w:val="0087637F"/>
    <w:rsid w:val="00876D87"/>
    <w:rsid w:val="008826FE"/>
    <w:rsid w:val="008860F1"/>
    <w:rsid w:val="00891ECE"/>
    <w:rsid w:val="00891FB2"/>
    <w:rsid w:val="00892AD5"/>
    <w:rsid w:val="008A1512"/>
    <w:rsid w:val="008A57AC"/>
    <w:rsid w:val="008B04AE"/>
    <w:rsid w:val="008B16E4"/>
    <w:rsid w:val="008B495A"/>
    <w:rsid w:val="008C18A7"/>
    <w:rsid w:val="008C3384"/>
    <w:rsid w:val="008C4138"/>
    <w:rsid w:val="008C58DF"/>
    <w:rsid w:val="008D2F56"/>
    <w:rsid w:val="008D32B9"/>
    <w:rsid w:val="008D433B"/>
    <w:rsid w:val="008D4A16"/>
    <w:rsid w:val="008E33DE"/>
    <w:rsid w:val="008E5401"/>
    <w:rsid w:val="008E566E"/>
    <w:rsid w:val="008E6D59"/>
    <w:rsid w:val="008E7E57"/>
    <w:rsid w:val="008F3C50"/>
    <w:rsid w:val="008F726D"/>
    <w:rsid w:val="00900708"/>
    <w:rsid w:val="0090161A"/>
    <w:rsid w:val="00901EB6"/>
    <w:rsid w:val="009041F8"/>
    <w:rsid w:val="00904C62"/>
    <w:rsid w:val="009063FC"/>
    <w:rsid w:val="009075EE"/>
    <w:rsid w:val="009173FE"/>
    <w:rsid w:val="00922B0F"/>
    <w:rsid w:val="00922BA8"/>
    <w:rsid w:val="00923C4E"/>
    <w:rsid w:val="00924DAC"/>
    <w:rsid w:val="00927058"/>
    <w:rsid w:val="00930048"/>
    <w:rsid w:val="00930420"/>
    <w:rsid w:val="0093530C"/>
    <w:rsid w:val="009353E2"/>
    <w:rsid w:val="00936DDB"/>
    <w:rsid w:val="00942750"/>
    <w:rsid w:val="00944EBB"/>
    <w:rsid w:val="009450CE"/>
    <w:rsid w:val="009459BB"/>
    <w:rsid w:val="00947179"/>
    <w:rsid w:val="0095164B"/>
    <w:rsid w:val="0095263D"/>
    <w:rsid w:val="009535C2"/>
    <w:rsid w:val="00953EE1"/>
    <w:rsid w:val="00954090"/>
    <w:rsid w:val="00956349"/>
    <w:rsid w:val="009573E7"/>
    <w:rsid w:val="0095799E"/>
    <w:rsid w:val="009604B8"/>
    <w:rsid w:val="00963E05"/>
    <w:rsid w:val="00964A45"/>
    <w:rsid w:val="00965C35"/>
    <w:rsid w:val="00967843"/>
    <w:rsid w:val="00967D54"/>
    <w:rsid w:val="00971028"/>
    <w:rsid w:val="0097528E"/>
    <w:rsid w:val="00975616"/>
    <w:rsid w:val="00976004"/>
    <w:rsid w:val="009839FB"/>
    <w:rsid w:val="0098755C"/>
    <w:rsid w:val="00990998"/>
    <w:rsid w:val="00993771"/>
    <w:rsid w:val="00993B84"/>
    <w:rsid w:val="00994C6A"/>
    <w:rsid w:val="00995748"/>
    <w:rsid w:val="00995DC1"/>
    <w:rsid w:val="00996483"/>
    <w:rsid w:val="009964C7"/>
    <w:rsid w:val="00996F5A"/>
    <w:rsid w:val="009A242E"/>
    <w:rsid w:val="009A24E3"/>
    <w:rsid w:val="009A3AA0"/>
    <w:rsid w:val="009A48FF"/>
    <w:rsid w:val="009B041A"/>
    <w:rsid w:val="009B053B"/>
    <w:rsid w:val="009B0D25"/>
    <w:rsid w:val="009B5188"/>
    <w:rsid w:val="009B6C5C"/>
    <w:rsid w:val="009C37C3"/>
    <w:rsid w:val="009C3C83"/>
    <w:rsid w:val="009C3EC8"/>
    <w:rsid w:val="009C5C50"/>
    <w:rsid w:val="009C666D"/>
    <w:rsid w:val="009C6BE7"/>
    <w:rsid w:val="009C7C86"/>
    <w:rsid w:val="009D2F19"/>
    <w:rsid w:val="009D2FF7"/>
    <w:rsid w:val="009D3767"/>
    <w:rsid w:val="009D5B93"/>
    <w:rsid w:val="009D5D89"/>
    <w:rsid w:val="009E2FB5"/>
    <w:rsid w:val="009E7884"/>
    <w:rsid w:val="009E788A"/>
    <w:rsid w:val="009F04D7"/>
    <w:rsid w:val="009F0E08"/>
    <w:rsid w:val="00A01051"/>
    <w:rsid w:val="00A078F3"/>
    <w:rsid w:val="00A079AE"/>
    <w:rsid w:val="00A128DD"/>
    <w:rsid w:val="00A1479A"/>
    <w:rsid w:val="00A15502"/>
    <w:rsid w:val="00A1763D"/>
    <w:rsid w:val="00A17CEC"/>
    <w:rsid w:val="00A23017"/>
    <w:rsid w:val="00A24128"/>
    <w:rsid w:val="00A24CF9"/>
    <w:rsid w:val="00A27EF0"/>
    <w:rsid w:val="00A3013A"/>
    <w:rsid w:val="00A32A39"/>
    <w:rsid w:val="00A33880"/>
    <w:rsid w:val="00A37ED3"/>
    <w:rsid w:val="00A4185D"/>
    <w:rsid w:val="00A42361"/>
    <w:rsid w:val="00A43A57"/>
    <w:rsid w:val="00A461F3"/>
    <w:rsid w:val="00A50B20"/>
    <w:rsid w:val="00A51390"/>
    <w:rsid w:val="00A53CF6"/>
    <w:rsid w:val="00A54554"/>
    <w:rsid w:val="00A55E92"/>
    <w:rsid w:val="00A5653C"/>
    <w:rsid w:val="00A57835"/>
    <w:rsid w:val="00A60ACE"/>
    <w:rsid w:val="00A60D13"/>
    <w:rsid w:val="00A63B51"/>
    <w:rsid w:val="00A64CA4"/>
    <w:rsid w:val="00A6622F"/>
    <w:rsid w:val="00A67ACE"/>
    <w:rsid w:val="00A707FC"/>
    <w:rsid w:val="00A71074"/>
    <w:rsid w:val="00A7223D"/>
    <w:rsid w:val="00A72745"/>
    <w:rsid w:val="00A7528A"/>
    <w:rsid w:val="00A76EFC"/>
    <w:rsid w:val="00A87D50"/>
    <w:rsid w:val="00A91010"/>
    <w:rsid w:val="00A93867"/>
    <w:rsid w:val="00A965F8"/>
    <w:rsid w:val="00A97F29"/>
    <w:rsid w:val="00AA22BA"/>
    <w:rsid w:val="00AA3077"/>
    <w:rsid w:val="00AA469A"/>
    <w:rsid w:val="00AA6E56"/>
    <w:rsid w:val="00AA6F07"/>
    <w:rsid w:val="00AA702E"/>
    <w:rsid w:val="00AA7D26"/>
    <w:rsid w:val="00AB0964"/>
    <w:rsid w:val="00AB230F"/>
    <w:rsid w:val="00AB3F7E"/>
    <w:rsid w:val="00AB4AB5"/>
    <w:rsid w:val="00AB5011"/>
    <w:rsid w:val="00AB5455"/>
    <w:rsid w:val="00AC16A7"/>
    <w:rsid w:val="00AC22FC"/>
    <w:rsid w:val="00AC3A74"/>
    <w:rsid w:val="00AC4E3B"/>
    <w:rsid w:val="00AC6492"/>
    <w:rsid w:val="00AC7368"/>
    <w:rsid w:val="00AD16B9"/>
    <w:rsid w:val="00AD2217"/>
    <w:rsid w:val="00AD59AE"/>
    <w:rsid w:val="00AD6A15"/>
    <w:rsid w:val="00AE2107"/>
    <w:rsid w:val="00AE377D"/>
    <w:rsid w:val="00AE42EB"/>
    <w:rsid w:val="00AE57D4"/>
    <w:rsid w:val="00AF0EBA"/>
    <w:rsid w:val="00AF2463"/>
    <w:rsid w:val="00AF4DF6"/>
    <w:rsid w:val="00B02824"/>
    <w:rsid w:val="00B02C8A"/>
    <w:rsid w:val="00B05545"/>
    <w:rsid w:val="00B05F1C"/>
    <w:rsid w:val="00B07F7C"/>
    <w:rsid w:val="00B10DF3"/>
    <w:rsid w:val="00B11A31"/>
    <w:rsid w:val="00B13D59"/>
    <w:rsid w:val="00B16CDA"/>
    <w:rsid w:val="00B16DF6"/>
    <w:rsid w:val="00B16EE0"/>
    <w:rsid w:val="00B17EDE"/>
    <w:rsid w:val="00B17FBD"/>
    <w:rsid w:val="00B20349"/>
    <w:rsid w:val="00B31012"/>
    <w:rsid w:val="00B315A6"/>
    <w:rsid w:val="00B31813"/>
    <w:rsid w:val="00B33365"/>
    <w:rsid w:val="00B37A3C"/>
    <w:rsid w:val="00B51A4A"/>
    <w:rsid w:val="00B53536"/>
    <w:rsid w:val="00B54CA7"/>
    <w:rsid w:val="00B57B36"/>
    <w:rsid w:val="00B57E6F"/>
    <w:rsid w:val="00B64839"/>
    <w:rsid w:val="00B65441"/>
    <w:rsid w:val="00B66ABC"/>
    <w:rsid w:val="00B66B7C"/>
    <w:rsid w:val="00B701FD"/>
    <w:rsid w:val="00B70AFF"/>
    <w:rsid w:val="00B76004"/>
    <w:rsid w:val="00B80E71"/>
    <w:rsid w:val="00B814E3"/>
    <w:rsid w:val="00B82C31"/>
    <w:rsid w:val="00B8686D"/>
    <w:rsid w:val="00B90E93"/>
    <w:rsid w:val="00B931FF"/>
    <w:rsid w:val="00B93F69"/>
    <w:rsid w:val="00B963AB"/>
    <w:rsid w:val="00B979B4"/>
    <w:rsid w:val="00BA48D2"/>
    <w:rsid w:val="00BB1B1C"/>
    <w:rsid w:val="00BB1DDC"/>
    <w:rsid w:val="00BB2BD1"/>
    <w:rsid w:val="00BB2F69"/>
    <w:rsid w:val="00BB3227"/>
    <w:rsid w:val="00BB5066"/>
    <w:rsid w:val="00BB5D9D"/>
    <w:rsid w:val="00BB7EFA"/>
    <w:rsid w:val="00BC13F7"/>
    <w:rsid w:val="00BC1DD4"/>
    <w:rsid w:val="00BC30C9"/>
    <w:rsid w:val="00BC4020"/>
    <w:rsid w:val="00BD077D"/>
    <w:rsid w:val="00BD3275"/>
    <w:rsid w:val="00BE36D2"/>
    <w:rsid w:val="00BE3E58"/>
    <w:rsid w:val="00BE463F"/>
    <w:rsid w:val="00BE6C2F"/>
    <w:rsid w:val="00BF13CE"/>
    <w:rsid w:val="00BF430B"/>
    <w:rsid w:val="00BF7285"/>
    <w:rsid w:val="00C01616"/>
    <w:rsid w:val="00C0162B"/>
    <w:rsid w:val="00C040BF"/>
    <w:rsid w:val="00C066E1"/>
    <w:rsid w:val="00C068ED"/>
    <w:rsid w:val="00C07D3C"/>
    <w:rsid w:val="00C11C30"/>
    <w:rsid w:val="00C172CE"/>
    <w:rsid w:val="00C20648"/>
    <w:rsid w:val="00C208F0"/>
    <w:rsid w:val="00C21080"/>
    <w:rsid w:val="00C22198"/>
    <w:rsid w:val="00C22E0C"/>
    <w:rsid w:val="00C26C53"/>
    <w:rsid w:val="00C32496"/>
    <w:rsid w:val="00C33D69"/>
    <w:rsid w:val="00C345B1"/>
    <w:rsid w:val="00C40142"/>
    <w:rsid w:val="00C40F1D"/>
    <w:rsid w:val="00C41A59"/>
    <w:rsid w:val="00C41F9A"/>
    <w:rsid w:val="00C44738"/>
    <w:rsid w:val="00C52C3C"/>
    <w:rsid w:val="00C533D0"/>
    <w:rsid w:val="00C57182"/>
    <w:rsid w:val="00C57863"/>
    <w:rsid w:val="00C600A1"/>
    <w:rsid w:val="00C63DFF"/>
    <w:rsid w:val="00C640AF"/>
    <w:rsid w:val="00C65423"/>
    <w:rsid w:val="00C655FD"/>
    <w:rsid w:val="00C704BE"/>
    <w:rsid w:val="00C75407"/>
    <w:rsid w:val="00C75CBA"/>
    <w:rsid w:val="00C8419C"/>
    <w:rsid w:val="00C841C6"/>
    <w:rsid w:val="00C851AD"/>
    <w:rsid w:val="00C857E6"/>
    <w:rsid w:val="00C866A2"/>
    <w:rsid w:val="00C867FC"/>
    <w:rsid w:val="00C870A8"/>
    <w:rsid w:val="00C94434"/>
    <w:rsid w:val="00CA0D75"/>
    <w:rsid w:val="00CA0FC4"/>
    <w:rsid w:val="00CA1C95"/>
    <w:rsid w:val="00CA2121"/>
    <w:rsid w:val="00CA5A9C"/>
    <w:rsid w:val="00CA6641"/>
    <w:rsid w:val="00CB438B"/>
    <w:rsid w:val="00CC08A0"/>
    <w:rsid w:val="00CC3CEA"/>
    <w:rsid w:val="00CC43DE"/>
    <w:rsid w:val="00CC4C20"/>
    <w:rsid w:val="00CC5690"/>
    <w:rsid w:val="00CC5FF2"/>
    <w:rsid w:val="00CC6DED"/>
    <w:rsid w:val="00CC7C60"/>
    <w:rsid w:val="00CD3464"/>
    <w:rsid w:val="00CD3517"/>
    <w:rsid w:val="00CD4C68"/>
    <w:rsid w:val="00CD4EDD"/>
    <w:rsid w:val="00CD56CF"/>
    <w:rsid w:val="00CD57F2"/>
    <w:rsid w:val="00CD5FE2"/>
    <w:rsid w:val="00CD70F4"/>
    <w:rsid w:val="00CE6A5C"/>
    <w:rsid w:val="00CE7C68"/>
    <w:rsid w:val="00CF2B55"/>
    <w:rsid w:val="00CF63D7"/>
    <w:rsid w:val="00CF76F1"/>
    <w:rsid w:val="00CF7ED4"/>
    <w:rsid w:val="00D00D4C"/>
    <w:rsid w:val="00D02B4C"/>
    <w:rsid w:val="00D040C4"/>
    <w:rsid w:val="00D13F4D"/>
    <w:rsid w:val="00D17EBE"/>
    <w:rsid w:val="00D20AD1"/>
    <w:rsid w:val="00D24D8E"/>
    <w:rsid w:val="00D2582C"/>
    <w:rsid w:val="00D26849"/>
    <w:rsid w:val="00D34A9B"/>
    <w:rsid w:val="00D46863"/>
    <w:rsid w:val="00D46B7E"/>
    <w:rsid w:val="00D47D89"/>
    <w:rsid w:val="00D502F3"/>
    <w:rsid w:val="00D50361"/>
    <w:rsid w:val="00D57C84"/>
    <w:rsid w:val="00D6057D"/>
    <w:rsid w:val="00D65546"/>
    <w:rsid w:val="00D6735C"/>
    <w:rsid w:val="00D71640"/>
    <w:rsid w:val="00D72AB5"/>
    <w:rsid w:val="00D8013F"/>
    <w:rsid w:val="00D80506"/>
    <w:rsid w:val="00D836C5"/>
    <w:rsid w:val="00D83E1C"/>
    <w:rsid w:val="00D84576"/>
    <w:rsid w:val="00D8560A"/>
    <w:rsid w:val="00D95F80"/>
    <w:rsid w:val="00D97A7A"/>
    <w:rsid w:val="00DA1399"/>
    <w:rsid w:val="00DA24C6"/>
    <w:rsid w:val="00DA4954"/>
    <w:rsid w:val="00DA4D7B"/>
    <w:rsid w:val="00DA64A9"/>
    <w:rsid w:val="00DB58C5"/>
    <w:rsid w:val="00DC0C87"/>
    <w:rsid w:val="00DC2840"/>
    <w:rsid w:val="00DC3D75"/>
    <w:rsid w:val="00DC60D7"/>
    <w:rsid w:val="00DC73EE"/>
    <w:rsid w:val="00DC7A2B"/>
    <w:rsid w:val="00DD271C"/>
    <w:rsid w:val="00DE1F17"/>
    <w:rsid w:val="00DE264A"/>
    <w:rsid w:val="00DE79D7"/>
    <w:rsid w:val="00DF1FD8"/>
    <w:rsid w:val="00DF4D78"/>
    <w:rsid w:val="00DF5072"/>
    <w:rsid w:val="00DF6B35"/>
    <w:rsid w:val="00E02D18"/>
    <w:rsid w:val="00E03663"/>
    <w:rsid w:val="00E041E7"/>
    <w:rsid w:val="00E04888"/>
    <w:rsid w:val="00E04D0E"/>
    <w:rsid w:val="00E04D6E"/>
    <w:rsid w:val="00E21961"/>
    <w:rsid w:val="00E23B20"/>
    <w:rsid w:val="00E23CA1"/>
    <w:rsid w:val="00E244ED"/>
    <w:rsid w:val="00E32FDD"/>
    <w:rsid w:val="00E35120"/>
    <w:rsid w:val="00E409A8"/>
    <w:rsid w:val="00E42BF6"/>
    <w:rsid w:val="00E46B74"/>
    <w:rsid w:val="00E46BFE"/>
    <w:rsid w:val="00E501C8"/>
    <w:rsid w:val="00E50C12"/>
    <w:rsid w:val="00E553DB"/>
    <w:rsid w:val="00E5652F"/>
    <w:rsid w:val="00E56871"/>
    <w:rsid w:val="00E61141"/>
    <w:rsid w:val="00E654F6"/>
    <w:rsid w:val="00E65B91"/>
    <w:rsid w:val="00E67FEA"/>
    <w:rsid w:val="00E7209D"/>
    <w:rsid w:val="00E72EAD"/>
    <w:rsid w:val="00E74511"/>
    <w:rsid w:val="00E7662A"/>
    <w:rsid w:val="00E77223"/>
    <w:rsid w:val="00E77B17"/>
    <w:rsid w:val="00E819A9"/>
    <w:rsid w:val="00E845A5"/>
    <w:rsid w:val="00E8528B"/>
    <w:rsid w:val="00E85B94"/>
    <w:rsid w:val="00E86AA9"/>
    <w:rsid w:val="00E87C7E"/>
    <w:rsid w:val="00E9296C"/>
    <w:rsid w:val="00E978D0"/>
    <w:rsid w:val="00EA1076"/>
    <w:rsid w:val="00EA2743"/>
    <w:rsid w:val="00EA3B51"/>
    <w:rsid w:val="00EA4613"/>
    <w:rsid w:val="00EA5D6C"/>
    <w:rsid w:val="00EA6476"/>
    <w:rsid w:val="00EA7F91"/>
    <w:rsid w:val="00EB1523"/>
    <w:rsid w:val="00EB35F7"/>
    <w:rsid w:val="00EC0E49"/>
    <w:rsid w:val="00EC101F"/>
    <w:rsid w:val="00EC1D9F"/>
    <w:rsid w:val="00EC40C2"/>
    <w:rsid w:val="00EC7874"/>
    <w:rsid w:val="00ED7EFD"/>
    <w:rsid w:val="00EE0131"/>
    <w:rsid w:val="00EE17B0"/>
    <w:rsid w:val="00EE438F"/>
    <w:rsid w:val="00EF06D9"/>
    <w:rsid w:val="00EF187E"/>
    <w:rsid w:val="00EF31F2"/>
    <w:rsid w:val="00EF7C43"/>
    <w:rsid w:val="00F00DFD"/>
    <w:rsid w:val="00F01983"/>
    <w:rsid w:val="00F17860"/>
    <w:rsid w:val="00F22F05"/>
    <w:rsid w:val="00F23AEF"/>
    <w:rsid w:val="00F27EE4"/>
    <w:rsid w:val="00F3037B"/>
    <w:rsid w:val="00F3049E"/>
    <w:rsid w:val="00F30C64"/>
    <w:rsid w:val="00F3188A"/>
    <w:rsid w:val="00F32BA2"/>
    <w:rsid w:val="00F32CDB"/>
    <w:rsid w:val="00F32EEA"/>
    <w:rsid w:val="00F33034"/>
    <w:rsid w:val="00F33479"/>
    <w:rsid w:val="00F34D05"/>
    <w:rsid w:val="00F34E5F"/>
    <w:rsid w:val="00F354F9"/>
    <w:rsid w:val="00F37F88"/>
    <w:rsid w:val="00F40505"/>
    <w:rsid w:val="00F41EE4"/>
    <w:rsid w:val="00F42DCB"/>
    <w:rsid w:val="00F43381"/>
    <w:rsid w:val="00F5007B"/>
    <w:rsid w:val="00F52586"/>
    <w:rsid w:val="00F525E1"/>
    <w:rsid w:val="00F565FE"/>
    <w:rsid w:val="00F622AF"/>
    <w:rsid w:val="00F62BEC"/>
    <w:rsid w:val="00F63A70"/>
    <w:rsid w:val="00F63D8C"/>
    <w:rsid w:val="00F64C48"/>
    <w:rsid w:val="00F67798"/>
    <w:rsid w:val="00F70061"/>
    <w:rsid w:val="00F71207"/>
    <w:rsid w:val="00F72ED6"/>
    <w:rsid w:val="00F74783"/>
    <w:rsid w:val="00F74D2C"/>
    <w:rsid w:val="00F7534E"/>
    <w:rsid w:val="00F80104"/>
    <w:rsid w:val="00F80D57"/>
    <w:rsid w:val="00F80EF9"/>
    <w:rsid w:val="00F81F81"/>
    <w:rsid w:val="00F82170"/>
    <w:rsid w:val="00F82BDF"/>
    <w:rsid w:val="00F83DC3"/>
    <w:rsid w:val="00F87A2F"/>
    <w:rsid w:val="00F93EDF"/>
    <w:rsid w:val="00F93F8C"/>
    <w:rsid w:val="00F97E8E"/>
    <w:rsid w:val="00FA09DC"/>
    <w:rsid w:val="00FA1802"/>
    <w:rsid w:val="00FA21D0"/>
    <w:rsid w:val="00FA5F5F"/>
    <w:rsid w:val="00FB0C3B"/>
    <w:rsid w:val="00FB1C69"/>
    <w:rsid w:val="00FB21E4"/>
    <w:rsid w:val="00FB36DF"/>
    <w:rsid w:val="00FB460C"/>
    <w:rsid w:val="00FB730C"/>
    <w:rsid w:val="00FB7412"/>
    <w:rsid w:val="00FC2695"/>
    <w:rsid w:val="00FC2A20"/>
    <w:rsid w:val="00FC3E03"/>
    <w:rsid w:val="00FC3FC1"/>
    <w:rsid w:val="00FE007F"/>
    <w:rsid w:val="00FE2958"/>
    <w:rsid w:val="00FE430E"/>
    <w:rsid w:val="00FE48F8"/>
    <w:rsid w:val="00FF2695"/>
    <w:rsid w:val="00FF48FD"/>
    <w:rsid w:val="00FF4C97"/>
    <w:rsid w:val="00FF586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78686C"/>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78686C"/>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7868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8686C"/>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8686C"/>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868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8686C"/>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78686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8686C"/>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78686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5783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5783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sz w:val="18"/>
      <w:szCs w:val="20"/>
      <w:lang w:val="en-GB"/>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sz w:val="18"/>
      <w:szCs w:val="20"/>
      <w:lang w:val="en-GB"/>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sz w:val="18"/>
      <w:szCs w:val="20"/>
      <w:lang w:val="en-GB"/>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sz w:val="18"/>
      <w:szCs w:val="20"/>
      <w:lang w:val="en-GB"/>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18"/>
      <w:szCs w:val="20"/>
      <w:lang w:val="en-GB"/>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AB230F"/>
    <w:rPr>
      <w:color w:val="666666"/>
    </w:rPr>
  </w:style>
  <w:style w:type="paragraph" w:customStyle="1" w:styleId="NormalText">
    <w:name w:val="Normal Text"/>
    <w:basedOn w:val="Rientrocorpodeltesto"/>
    <w:qFormat/>
    <w:rsid w:val="00F82BDF"/>
    <w:pPr>
      <w:tabs>
        <w:tab w:val="clear" w:pos="7100"/>
      </w:tabs>
      <w:spacing w:line="240" w:lineRule="auto"/>
    </w:pPr>
    <w:rPr>
      <w:rFonts w:cs="Arial"/>
      <w:sz w:val="20"/>
      <w:lang w:val="en-US"/>
    </w:rPr>
  </w:style>
  <w:style w:type="table" w:styleId="Tabellasemplice-1">
    <w:name w:val="Plain Table 1"/>
    <w:basedOn w:val="Tabellanormale"/>
    <w:uiPriority w:val="41"/>
    <w:rsid w:val="00E219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olo">
    <w:name w:val="Title"/>
    <w:basedOn w:val="Normale"/>
    <w:next w:val="Normale"/>
    <w:link w:val="TitoloCarattere"/>
    <w:uiPriority w:val="10"/>
    <w:qFormat/>
    <w:rsid w:val="0078686C"/>
    <w:pPr>
      <w:tabs>
        <w:tab w:val="clear" w:pos="7100"/>
      </w:tabs>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oloCarattere">
    <w:name w:val="Titolo Carattere"/>
    <w:basedOn w:val="Carpredefinitoparagrafo"/>
    <w:link w:val="Titolo"/>
    <w:uiPriority w:val="10"/>
    <w:rsid w:val="0078686C"/>
    <w:rPr>
      <w:rFonts w:asciiTheme="majorHAnsi" w:eastAsiaTheme="majorEastAsia" w:hAnsiTheme="majorHAnsi" w:cstheme="majorBidi"/>
      <w:spacing w:val="-10"/>
      <w:kern w:val="28"/>
      <w:sz w:val="56"/>
      <w:szCs w:val="56"/>
      <w:lang w:val="en-US"/>
      <w14:ligatures w14:val="standardContextual"/>
    </w:rPr>
  </w:style>
  <w:style w:type="paragraph" w:styleId="Sottotitolo">
    <w:name w:val="Subtitle"/>
    <w:basedOn w:val="Normale"/>
    <w:next w:val="Normale"/>
    <w:link w:val="SottotitoloCarattere"/>
    <w:uiPriority w:val="11"/>
    <w:qFormat/>
    <w:rsid w:val="0078686C"/>
    <w:pPr>
      <w:numPr>
        <w:ilvl w:val="1"/>
      </w:numPr>
      <w:tabs>
        <w:tab w:val="clear" w:pos="7100"/>
      </w:tabs>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ottotitoloCarattere">
    <w:name w:val="Sottotitolo Carattere"/>
    <w:basedOn w:val="Carpredefinitoparagrafo"/>
    <w:link w:val="Sottotitolo"/>
    <w:uiPriority w:val="11"/>
    <w:rsid w:val="0078686C"/>
    <w:rPr>
      <w:rFonts w:eastAsiaTheme="majorEastAsia" w:cstheme="majorBidi"/>
      <w:color w:val="595959" w:themeColor="text1" w:themeTint="A6"/>
      <w:spacing w:val="15"/>
      <w:kern w:val="2"/>
      <w:sz w:val="28"/>
      <w:szCs w:val="28"/>
      <w:lang w:val="en-US"/>
      <w14:ligatures w14:val="standardContextual"/>
    </w:rPr>
  </w:style>
  <w:style w:type="paragraph" w:styleId="Citazione">
    <w:name w:val="Quote"/>
    <w:basedOn w:val="Normale"/>
    <w:next w:val="Normale"/>
    <w:link w:val="CitazioneCarattere"/>
    <w:uiPriority w:val="29"/>
    <w:qFormat/>
    <w:rsid w:val="0078686C"/>
    <w:pPr>
      <w:tabs>
        <w:tab w:val="clear" w:pos="7100"/>
      </w:tabs>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azioneCarattere">
    <w:name w:val="Citazione Carattere"/>
    <w:basedOn w:val="Carpredefinitoparagrafo"/>
    <w:link w:val="Citazione"/>
    <w:uiPriority w:val="29"/>
    <w:rsid w:val="0078686C"/>
    <w:rPr>
      <w:i/>
      <w:iCs/>
      <w:color w:val="404040" w:themeColor="text1" w:themeTint="BF"/>
      <w:kern w:val="2"/>
      <w:sz w:val="24"/>
      <w:szCs w:val="24"/>
      <w:lang w:val="en-US"/>
      <w14:ligatures w14:val="standardContextual"/>
    </w:rPr>
  </w:style>
  <w:style w:type="character" w:styleId="Enfasiintensa">
    <w:name w:val="Intense Emphasis"/>
    <w:basedOn w:val="Carpredefinitoparagrafo"/>
    <w:uiPriority w:val="21"/>
    <w:qFormat/>
    <w:rsid w:val="0078686C"/>
    <w:rPr>
      <w:i/>
      <w:iCs/>
      <w:color w:val="365F91" w:themeColor="accent1" w:themeShade="BF"/>
    </w:rPr>
  </w:style>
  <w:style w:type="paragraph" w:styleId="Citazioneintensa">
    <w:name w:val="Intense Quote"/>
    <w:basedOn w:val="Normale"/>
    <w:next w:val="Normale"/>
    <w:link w:val="CitazioneintensaCarattere"/>
    <w:uiPriority w:val="30"/>
    <w:qFormat/>
    <w:rsid w:val="0078686C"/>
    <w:pPr>
      <w:pBdr>
        <w:top w:val="single" w:sz="4" w:space="10" w:color="365F91" w:themeColor="accent1" w:themeShade="BF"/>
        <w:bottom w:val="single" w:sz="4" w:space="10" w:color="365F91" w:themeColor="accent1" w:themeShade="BF"/>
      </w:pBdr>
      <w:tabs>
        <w:tab w:val="clear" w:pos="7100"/>
      </w:tabs>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US"/>
      <w14:ligatures w14:val="standardContextual"/>
    </w:rPr>
  </w:style>
  <w:style w:type="character" w:customStyle="1" w:styleId="CitazioneintensaCarattere">
    <w:name w:val="Citazione intensa Carattere"/>
    <w:basedOn w:val="Carpredefinitoparagrafo"/>
    <w:link w:val="Citazioneintensa"/>
    <w:uiPriority w:val="30"/>
    <w:rsid w:val="0078686C"/>
    <w:rPr>
      <w:i/>
      <w:iCs/>
      <w:color w:val="365F91" w:themeColor="accent1" w:themeShade="BF"/>
      <w:kern w:val="2"/>
      <w:sz w:val="24"/>
      <w:szCs w:val="24"/>
      <w:lang w:val="en-US"/>
      <w14:ligatures w14:val="standardContextual"/>
    </w:rPr>
  </w:style>
  <w:style w:type="character" w:styleId="Riferimentointenso">
    <w:name w:val="Intense Reference"/>
    <w:basedOn w:val="Carpredefinitoparagrafo"/>
    <w:uiPriority w:val="32"/>
    <w:qFormat/>
    <w:rsid w:val="0078686C"/>
    <w:rPr>
      <w:b/>
      <w:bCs/>
      <w:smallCaps/>
      <w:color w:val="365F91" w:themeColor="accent1" w:themeShade="BF"/>
      <w:spacing w:val="5"/>
    </w:rPr>
  </w:style>
  <w:style w:type="paragraph" w:styleId="Revisione">
    <w:name w:val="Revision"/>
    <w:hidden/>
    <w:uiPriority w:val="99"/>
    <w:semiHidden/>
    <w:rsid w:val="0078686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169">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58099136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2769</Words>
  <Characters>15789</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5</cp:revision>
  <cp:lastPrinted>2015-05-12T18:31:00Z</cp:lastPrinted>
  <dcterms:created xsi:type="dcterms:W3CDTF">2024-09-16T12:19:00Z</dcterms:created>
  <dcterms:modified xsi:type="dcterms:W3CDTF">2025-04-16T11:34:00Z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e18d9558-26a3-4f93-8788-04a494c05692_Enabled">
    <vt:lpwstr>true</vt:lpwstr>
  </property>
  <property fmtid="{D5CDD505-2E9C-101B-9397-08002B2CF9AE}" pid="5" name="MSIP_Label_e18d9558-26a3-4f93-8788-04a494c05692_SetDate">
    <vt:lpwstr>2024-09-09T06:53:54Z</vt:lpwstr>
  </property>
  <property fmtid="{D5CDD505-2E9C-101B-9397-08002B2CF9AE}" pid="6" name="MSIP_Label_e18d9558-26a3-4f93-8788-04a494c05692_Method">
    <vt:lpwstr>Standard</vt:lpwstr>
  </property>
  <property fmtid="{D5CDD505-2E9C-101B-9397-08002B2CF9AE}" pid="7" name="MSIP_Label_e18d9558-26a3-4f93-8788-04a494c05692_Name">
    <vt:lpwstr>e18d9558-26a3-4f93-8788-04a494c05692</vt:lpwstr>
  </property>
  <property fmtid="{D5CDD505-2E9C-101B-9397-08002B2CF9AE}" pid="8" name="MSIP_Label_e18d9558-26a3-4f93-8788-04a494c05692_SiteId">
    <vt:lpwstr>7cc91888-5aa0-49e5-a836-22cda2eae0fc</vt:lpwstr>
  </property>
  <property fmtid="{D5CDD505-2E9C-101B-9397-08002B2CF9AE}" pid="9" name="MSIP_Label_e18d9558-26a3-4f93-8788-04a494c05692_ActionId">
    <vt:lpwstr>d7f44058-55ba-4a2c-8b98-91d2899357ae</vt:lpwstr>
  </property>
  <property fmtid="{D5CDD505-2E9C-101B-9397-08002B2CF9AE}" pid="10" name="MSIP_Label_e18d9558-26a3-4f93-8788-04a494c05692_ContentBits">
    <vt:lpwstr>0</vt:lpwstr>
  </property>
  <property fmtid="{D5CDD505-2E9C-101B-9397-08002B2CF9AE}" pid="11" name="MSIP_Label_e18d9558-26a3-4f93-8788-04a494c05692_Tag">
    <vt:lpwstr>10, 3, 0, 1</vt:lpwstr>
  </property>
</Properties>
</file>